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21B68714" w:rsidR="00F45994" w:rsidRDefault="00625F73" w:rsidP="00833310">
      <w:pPr>
        <w:ind w:left="284" w:right="142"/>
        <w:contextualSpacing/>
        <w:rPr>
          <w:rFonts w:eastAsia="Calibri"/>
          <w:b/>
          <w:bCs/>
        </w:rPr>
      </w:pPr>
      <w:r>
        <w:rPr>
          <w:rFonts w:eastAsia="Calibri"/>
          <w:b/>
          <w:bCs/>
        </w:rPr>
        <w:t xml:space="preserve">ul. </w:t>
      </w:r>
      <w:r w:rsidR="00F45994">
        <w:rPr>
          <w:rFonts w:eastAsia="Calibri"/>
          <w:b/>
          <w:bCs/>
        </w:rPr>
        <w:t>. 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6B7368" w:rsidP="00833310">
      <w:pPr>
        <w:ind w:left="284" w:right="142"/>
        <w:contextualSpacing/>
      </w:pPr>
      <w:hyperlink r:id="rId9"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1EDD14DB"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489603982"/>
      <w:proofErr w:type="spellStart"/>
      <w:r w:rsidR="00931DDC" w:rsidRPr="00931DDC">
        <w:rPr>
          <w:b/>
          <w:sz w:val="22"/>
        </w:rPr>
        <w:t>ZGKiM.IiZP</w:t>
      </w:r>
      <w:proofErr w:type="spellEnd"/>
      <w:r w:rsidR="00931DDC" w:rsidRPr="00931DDC">
        <w:rPr>
          <w:b/>
          <w:sz w:val="22"/>
        </w:rPr>
        <w:t>/2/</w:t>
      </w:r>
      <w:r w:rsidR="00833310">
        <w:rPr>
          <w:b/>
          <w:sz w:val="22"/>
        </w:rPr>
        <w:t>8</w:t>
      </w:r>
      <w:r w:rsidR="00931DDC" w:rsidRPr="00931DDC">
        <w:rPr>
          <w:b/>
          <w:sz w:val="22"/>
        </w:rPr>
        <w:t>/2021</w:t>
      </w:r>
    </w:p>
    <w:p w14:paraId="5667BD2F" w14:textId="34C137A6"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0003EA" w:rsidRPr="000003EA">
        <w:rPr>
          <w:rFonts w:cstheme="minorHAnsi"/>
          <w:b/>
          <w:iCs/>
        </w:rPr>
        <w:t>2021/BZP 00316271/01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0"/>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w:t>
      </w:r>
      <w:proofErr w:type="spellStart"/>
      <w:r w:rsidRPr="00D74D9C">
        <w:rPr>
          <w:rFonts w:eastAsia="Calibri"/>
          <w:b/>
          <w:bCs/>
          <w:i/>
        </w:rPr>
        <w:t>Pzp</w:t>
      </w:r>
      <w:proofErr w:type="spellEnd"/>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386F955D" w14:textId="2E139CAC" w:rsidR="00F45994" w:rsidRDefault="00921892" w:rsidP="00833310">
      <w:pPr>
        <w:widowControl w:val="0"/>
        <w:suppressAutoHyphens/>
        <w:autoSpaceDE w:val="0"/>
        <w:ind w:left="284" w:right="142"/>
        <w:contextualSpacing/>
        <w:jc w:val="center"/>
        <w:rPr>
          <w:b/>
          <w:szCs w:val="20"/>
          <w:lang w:eastAsia="en-US"/>
        </w:rPr>
      </w:pPr>
      <w:r w:rsidRPr="00921892">
        <w:rPr>
          <w:b/>
          <w:szCs w:val="20"/>
          <w:lang w:eastAsia="en-US"/>
        </w:rPr>
        <w:t xml:space="preserve">Zmiana sposobu użytkowania budynku </w:t>
      </w:r>
      <w:r w:rsidR="00931DDC" w:rsidRPr="00F45994">
        <w:rPr>
          <w:b/>
          <w:szCs w:val="20"/>
          <w:lang w:eastAsia="en-US"/>
        </w:rPr>
        <w:t xml:space="preserve">przy ul. Armii Krajowej </w:t>
      </w:r>
      <w:r w:rsidR="00931DDC">
        <w:rPr>
          <w:b/>
          <w:szCs w:val="20"/>
          <w:lang w:eastAsia="en-US"/>
        </w:rPr>
        <w:t>1a</w:t>
      </w:r>
    </w:p>
    <w:p w14:paraId="1AEF80F5" w14:textId="1DB14E35" w:rsidR="00E34A70" w:rsidRPr="00037E8F" w:rsidRDefault="00F45994" w:rsidP="00833310">
      <w:pPr>
        <w:widowControl w:val="0"/>
        <w:suppressAutoHyphens/>
        <w:autoSpaceDE w:val="0"/>
        <w:ind w:left="284" w:right="142"/>
        <w:contextualSpacing/>
        <w:jc w:val="center"/>
        <w:rPr>
          <w:rFonts w:eastAsia="Arial"/>
          <w:bCs/>
          <w:u w:val="single"/>
          <w:lang w:eastAsia="ar-SA"/>
        </w:rPr>
      </w:pPr>
      <w:r w:rsidRPr="00F45994">
        <w:rPr>
          <w:b/>
          <w:szCs w:val="20"/>
          <w:lang w:eastAsia="en-US"/>
        </w:rPr>
        <w:t>w Sierpcu</w:t>
      </w:r>
      <w:r w:rsidR="00684996">
        <w:rPr>
          <w:b/>
          <w:szCs w:val="20"/>
          <w:lang w:eastAsia="en-US"/>
        </w:rPr>
        <w:t>.</w:t>
      </w:r>
    </w:p>
    <w:p w14:paraId="6A91EBE1" w14:textId="77777777" w:rsidR="00486146" w:rsidRDefault="00486146"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222F3E28"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77777777" w:rsidR="00145922" w:rsidRDefault="00145922" w:rsidP="00833310">
      <w:pPr>
        <w:widowControl w:val="0"/>
        <w:suppressAutoHyphens/>
        <w:autoSpaceDE w:val="0"/>
        <w:ind w:left="284" w:right="142"/>
        <w:contextualSpacing/>
        <w:rPr>
          <w:rFonts w:eastAsia="Arial"/>
          <w:b/>
          <w:bCs/>
          <w:lang w:eastAsia="ar-SA"/>
        </w:rPr>
      </w:pPr>
    </w:p>
    <w:p w14:paraId="0BD87A94" w14:textId="2AB7AD3C" w:rsidR="00726A82" w:rsidRDefault="00F45994" w:rsidP="00833310">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Pr>
          <w:rFonts w:eastAsia="Arial"/>
          <w:b/>
          <w:bCs/>
          <w:lang w:eastAsia="ar-SA"/>
        </w:rPr>
        <w:t>grudzień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5F643B6" w14:textId="77777777" w:rsidR="00F45994" w:rsidRDefault="00F45994" w:rsidP="00833310">
      <w:pPr>
        <w:widowControl w:val="0"/>
        <w:suppressAutoHyphens/>
        <w:autoSpaceDE w:val="0"/>
        <w:ind w:left="284" w:right="142"/>
        <w:contextualSpacing/>
        <w:jc w:val="center"/>
        <w:outlineLvl w:val="0"/>
        <w:rPr>
          <w:rFonts w:eastAsia="Arial"/>
          <w:b/>
          <w:bCs/>
          <w:lang w:eastAsia="ar-SA"/>
        </w:rPr>
      </w:pP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72161FDE" w14:textId="77777777" w:rsidR="000B6C22" w:rsidRDefault="006B7368" w:rsidP="000B6C22">
      <w:pPr>
        <w:pStyle w:val="Akapitzlist"/>
        <w:widowControl w:val="0"/>
        <w:tabs>
          <w:tab w:val="left" w:pos="567"/>
        </w:tabs>
        <w:suppressAutoHyphens/>
        <w:autoSpaceDE w:val="0"/>
        <w:spacing w:after="200"/>
        <w:ind w:left="567" w:right="142"/>
        <w:jc w:val="both"/>
      </w:pPr>
      <w:hyperlink r:id="rId10" w:history="1">
        <w:r w:rsidR="000B6C22" w:rsidRPr="00E51FA2">
          <w:rPr>
            <w:rStyle w:val="Hipercze"/>
          </w:rPr>
          <w:t>https://zgkimsierpc.zakladkomunalny.com/zamowienia-publiczne</w:t>
        </w:r>
      </w:hyperlink>
    </w:p>
    <w:p w14:paraId="30DF9B17" w14:textId="77777777"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1"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1"/>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6B7368" w:rsidP="000B6C22">
      <w:pPr>
        <w:pStyle w:val="Akapitzlist"/>
        <w:widowControl w:val="0"/>
        <w:tabs>
          <w:tab w:val="left" w:pos="567"/>
        </w:tabs>
        <w:suppressAutoHyphens/>
        <w:autoSpaceDE w:val="0"/>
        <w:spacing w:after="200"/>
        <w:ind w:left="567" w:right="142"/>
        <w:jc w:val="both"/>
      </w:pPr>
      <w:hyperlink r:id="rId11" w:history="1">
        <w:r w:rsidR="0052050F" w:rsidRPr="00E51FA2">
          <w:rPr>
            <w:rStyle w:val="Hipercze"/>
          </w:rPr>
          <w:t>https://platformazakupowa.pl/pn/zgkimsierpc</w:t>
        </w:r>
      </w:hyperlink>
    </w:p>
    <w:p w14:paraId="69831A6D" w14:textId="0DF2E0AF" w:rsidR="000B6C22" w:rsidRDefault="006B7368" w:rsidP="000B6C22">
      <w:pPr>
        <w:pStyle w:val="Akapitzlist"/>
        <w:widowControl w:val="0"/>
        <w:tabs>
          <w:tab w:val="left" w:pos="567"/>
        </w:tabs>
        <w:suppressAutoHyphens/>
        <w:autoSpaceDE w:val="0"/>
        <w:spacing w:after="200"/>
        <w:ind w:left="567" w:right="142"/>
        <w:jc w:val="both"/>
      </w:pPr>
      <w:hyperlink r:id="rId12" w:history="1">
        <w:r w:rsidR="0052050F" w:rsidRPr="00177CB8">
          <w:rPr>
            <w:rStyle w:val="Hipercze"/>
          </w:rPr>
          <w:t>https://zgkimsierpc.zakladkomunalny.com/zamowienia-publiczne</w:t>
        </w:r>
      </w:hyperlink>
      <w:r w:rsidR="00F45994">
        <w:t xml:space="preserve"> </w:t>
      </w:r>
    </w:p>
    <w:p w14:paraId="05DDF50D" w14:textId="55D50DE6"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 xml:space="preserve">skrzynka </w:t>
      </w:r>
      <w:proofErr w:type="spellStart"/>
      <w:r w:rsidRPr="007037E2">
        <w:rPr>
          <w:b/>
        </w:rPr>
        <w:t>ePUAP</w:t>
      </w:r>
      <w:proofErr w:type="spellEnd"/>
      <w:r w:rsidRPr="007037E2">
        <w:rPr>
          <w:b/>
        </w:rPr>
        <w:t>:/</w:t>
      </w:r>
      <w:proofErr w:type="spellStart"/>
      <w:r w:rsidRPr="007037E2">
        <w:rPr>
          <w:b/>
        </w:rPr>
        <w:t>zgkimwsierpcu</w:t>
      </w:r>
      <w:proofErr w:type="spellEnd"/>
      <w:r w:rsidRPr="007037E2">
        <w:rPr>
          <w:b/>
        </w:rPr>
        <w:t>/</w:t>
      </w:r>
      <w:proofErr w:type="spellStart"/>
      <w:r w:rsidRPr="007037E2">
        <w:rPr>
          <w:b/>
        </w:rPr>
        <w:t>domyslna</w:t>
      </w:r>
      <w:proofErr w:type="spellEnd"/>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w:t>
      </w:r>
      <w:proofErr w:type="spellStart"/>
      <w:r w:rsidR="00E65621" w:rsidRPr="00EA3A82">
        <w:rPr>
          <w:rFonts w:eastAsia="Calibri"/>
          <w:color w:val="000000"/>
        </w:rPr>
        <w:t>P</w:t>
      </w:r>
      <w:r w:rsidRPr="00EA3A82">
        <w:rPr>
          <w:rFonts w:eastAsia="Calibri"/>
          <w:color w:val="000000"/>
        </w:rPr>
        <w:t>zp</w:t>
      </w:r>
      <w:proofErr w:type="spellEnd"/>
      <w:r w:rsidRPr="00EA3A82">
        <w:rPr>
          <w:rFonts w:eastAsia="Calibri"/>
          <w:color w:val="000000"/>
        </w:rPr>
        <w:t>”</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 xml:space="preserve">WZ”, zastosowanie mają przepisy ustawy </w:t>
      </w:r>
      <w:proofErr w:type="spellStart"/>
      <w:r w:rsidRPr="009533EE">
        <w:rPr>
          <w:rFonts w:eastAsia="Calibri"/>
          <w:color w:val="000000"/>
        </w:rPr>
        <w:t>Pzp</w:t>
      </w:r>
      <w:proofErr w:type="spellEnd"/>
      <w:r w:rsidRPr="009533EE">
        <w:rPr>
          <w:rFonts w:eastAsia="Calibri"/>
          <w:color w:val="000000"/>
        </w:rPr>
        <w:t>.</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 xml:space="preserve">Wartość zamówienia jest poniżej progów unijnych określonych w art. 3 ust. 1 ustawy </w:t>
      </w:r>
      <w:proofErr w:type="spellStart"/>
      <w:r w:rsidRPr="009533EE">
        <w:rPr>
          <w:rFonts w:eastAsia="Calibri"/>
          <w:color w:val="000000"/>
        </w:rPr>
        <w:t>Pzp</w:t>
      </w:r>
      <w:proofErr w:type="spellEnd"/>
      <w:r w:rsidRPr="009533EE">
        <w:rPr>
          <w:rFonts w:eastAsia="Calibri"/>
          <w:color w:val="000000"/>
        </w:rPr>
        <w:t>.</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4843479D"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2" w:name="_Hlk90274432"/>
      <w:r w:rsidR="00982335">
        <w:rPr>
          <w:rFonts w:eastAsia="Calibri"/>
        </w:rPr>
        <w:t>.</w:t>
      </w:r>
    </w:p>
    <w:p w14:paraId="1A8204A3" w14:textId="08F896B8" w:rsidR="00982335" w:rsidRDefault="00982335" w:rsidP="00982335">
      <w:pPr>
        <w:pStyle w:val="Akapitzlist"/>
        <w:tabs>
          <w:tab w:val="left" w:pos="567"/>
        </w:tabs>
        <w:ind w:left="567" w:right="142"/>
        <w:jc w:val="both"/>
        <w:rPr>
          <w:rFonts w:cs="Calibri"/>
          <w:bCs/>
        </w:rPr>
      </w:pPr>
      <w:r w:rsidRPr="00982335">
        <w:rPr>
          <w:rFonts w:cs="Calibri"/>
          <w:bCs/>
        </w:rPr>
        <w:t xml:space="preserve">Przedmiotem zamówienia jest </w:t>
      </w:r>
      <w:r w:rsidRPr="00982335">
        <w:rPr>
          <w:bCs/>
        </w:rPr>
        <w:t>wykonanie adaptacji pomieszczeń nieużytkowych na cele mieszkalne w budynku</w:t>
      </w:r>
      <w:r w:rsidRPr="00982335">
        <w:rPr>
          <w:rFonts w:cs="Calibri"/>
          <w:bCs/>
        </w:rPr>
        <w:t xml:space="preserve"> przy ul. Armii Krajowej 1A w Sierpcu w ramach zadania inwestycyjnego pn.: „Zmiana sposobu użytkowania budynku przy ul. Armii Krajowej 1A w Sierpcu”</w:t>
      </w:r>
      <w:bookmarkStart w:id="3" w:name="_Hlk90274600"/>
      <w:bookmarkEnd w:id="2"/>
      <w:r>
        <w:rPr>
          <w:rFonts w:cs="Calibri"/>
          <w:bCs/>
        </w:rPr>
        <w:t>.</w:t>
      </w:r>
    </w:p>
    <w:p w14:paraId="09B7DAEC" w14:textId="77777777" w:rsidR="00982335" w:rsidRDefault="00982335" w:rsidP="00982335">
      <w:pPr>
        <w:pStyle w:val="Akapitzlist"/>
        <w:tabs>
          <w:tab w:val="left" w:pos="567"/>
        </w:tabs>
        <w:ind w:left="567" w:right="142"/>
        <w:jc w:val="both"/>
      </w:pPr>
      <w:r>
        <w:t>Adaptacja ma na celu utworzenie mieszkań na piętrze i poddaszu budynku oraz utworzenie komórek lokatorskich w piwnicy budynku. Na parterze budynku znajduje się zrealizowany w latach 2018-2019 żłobek.</w:t>
      </w:r>
      <w:bookmarkEnd w:id="3"/>
    </w:p>
    <w:p w14:paraId="2E0E8D42" w14:textId="77777777" w:rsidR="00982335" w:rsidRDefault="00982335" w:rsidP="00982335">
      <w:pPr>
        <w:pStyle w:val="Akapitzlist"/>
        <w:tabs>
          <w:tab w:val="left" w:pos="567"/>
        </w:tabs>
        <w:ind w:left="567" w:right="142"/>
        <w:jc w:val="both"/>
        <w:rPr>
          <w:rFonts w:cs="Calibri"/>
        </w:rPr>
      </w:pPr>
      <w:r w:rsidRPr="00982335">
        <w:rPr>
          <w:rFonts w:cs="Calibri"/>
        </w:rPr>
        <w:t xml:space="preserve">Przedmiot zamówienia obejmuje </w:t>
      </w:r>
      <w:r>
        <w:t xml:space="preserve">roboty budowlane i instalacyjne niezbędne dla wykonania mieszkań na piętrze i poddaszu oraz utworzenie komórek lokatorskich w piwnicy wraz </w:t>
      </w:r>
      <w:r w:rsidRPr="00982335">
        <w:rPr>
          <w:rFonts w:cs="Calibri"/>
          <w:lang w:eastAsia="pl-PL"/>
        </w:rPr>
        <w:t>uzyskaniem wszystkich wymaganych dokumentów i decyzji niezbędnych dla uzyskania pozwolenia na użytkowanie wraz z jego uzyskaniem.</w:t>
      </w:r>
      <w:r w:rsidRPr="00982335">
        <w:rPr>
          <w:rFonts w:cs="Calibri"/>
        </w:rPr>
        <w:t xml:space="preserve"> </w:t>
      </w:r>
    </w:p>
    <w:p w14:paraId="023BC049" w14:textId="77777777" w:rsidR="00982335" w:rsidRPr="00744283" w:rsidRDefault="00BB2850" w:rsidP="00B25CB7">
      <w:pPr>
        <w:pStyle w:val="Akapitzlist"/>
        <w:numPr>
          <w:ilvl w:val="0"/>
          <w:numId w:val="6"/>
        </w:numPr>
        <w:tabs>
          <w:tab w:val="left" w:pos="709"/>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53A4E9E1" w14:textId="77777777" w:rsidR="00737A48" w:rsidRPr="00737A48"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lastRenderedPageBreak/>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bookmarkStart w:id="4" w:name="_GoBack"/>
      <w:r w:rsidRPr="00744283">
        <w:rPr>
          <w:rFonts w:eastAsia="Calibri"/>
        </w:rPr>
        <w:t xml:space="preserve">45100000-8 </w:t>
      </w:r>
      <w:bookmarkEnd w:id="4"/>
      <w:r w:rsidRPr="00744283">
        <w:rPr>
          <w:rFonts w:eastAsia="Calibri"/>
        </w:rPr>
        <w:t>Przygotowanie terenu pod budowę</w:t>
      </w:r>
    </w:p>
    <w:p w14:paraId="61228F13" w14:textId="77777777" w:rsidR="00AD10DA" w:rsidRPr="00744283" w:rsidRDefault="00AD10DA" w:rsidP="00AD10DA">
      <w:pPr>
        <w:pStyle w:val="Akapitzlist"/>
        <w:tabs>
          <w:tab w:val="left" w:pos="709"/>
        </w:tabs>
        <w:ind w:left="1843" w:right="142" w:hanging="1276"/>
        <w:jc w:val="both"/>
        <w:rPr>
          <w:rFonts w:eastAsia="Calibri"/>
        </w:rPr>
      </w:pPr>
      <w:r w:rsidRPr="00744283">
        <w:rPr>
          <w:rFonts w:eastAsia="Calibri"/>
        </w:rPr>
        <w:t>45110000-1 Roboty w zakresie burzenia i rozbiórki obiektów budowlanych i inne podobne roboty specjalistyczne</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68FC2EC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45000000-7 Roboty budowlane</w:t>
      </w:r>
    </w:p>
    <w:p w14:paraId="49001A8D" w14:textId="77777777" w:rsidR="00AD10DA" w:rsidRPr="00744283" w:rsidRDefault="00AD10DA" w:rsidP="00AD10DA">
      <w:pPr>
        <w:pStyle w:val="Akapitzlist"/>
        <w:tabs>
          <w:tab w:val="left" w:pos="709"/>
        </w:tabs>
        <w:ind w:left="567" w:right="142"/>
        <w:jc w:val="both"/>
        <w:rPr>
          <w:rFonts w:eastAsia="Calibri"/>
        </w:rPr>
      </w:pP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77470376" w14:textId="7A5CAD0A" w:rsidR="00AD10DA" w:rsidRPr="00744283" w:rsidRDefault="00AD10DA" w:rsidP="00AD10DA">
      <w:pPr>
        <w:pStyle w:val="Akapitzlist"/>
        <w:tabs>
          <w:tab w:val="left" w:pos="709"/>
        </w:tabs>
        <w:ind w:left="567" w:right="142"/>
        <w:jc w:val="both"/>
        <w:rPr>
          <w:rFonts w:eastAsia="Calibri"/>
        </w:rPr>
      </w:pPr>
      <w:r w:rsidRPr="00744283">
        <w:rPr>
          <w:rFonts w:eastAsia="Calibri"/>
        </w:rPr>
        <w:t>45312300-0 Instalowanie anten</w:t>
      </w:r>
    </w:p>
    <w:p w14:paraId="50675D7B" w14:textId="77777777" w:rsidR="00AD10DA" w:rsidRPr="00744283" w:rsidRDefault="00AD10DA" w:rsidP="00AD10DA">
      <w:pPr>
        <w:pStyle w:val="Akapitzlist"/>
        <w:tabs>
          <w:tab w:val="left" w:pos="709"/>
        </w:tabs>
        <w:ind w:left="567" w:right="142"/>
        <w:jc w:val="both"/>
        <w:rPr>
          <w:rFonts w:eastAsia="Calibri"/>
        </w:rPr>
      </w:pP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2E848FFA" w:rsidR="00AD10DA" w:rsidRPr="00744283" w:rsidRDefault="00AD10DA" w:rsidP="00AD10DA">
      <w:pPr>
        <w:pStyle w:val="Akapitzlist"/>
        <w:tabs>
          <w:tab w:val="left" w:pos="709"/>
        </w:tabs>
        <w:ind w:left="567" w:right="142"/>
        <w:jc w:val="both"/>
        <w:rPr>
          <w:rFonts w:eastAsia="Calibri"/>
          <w:strike/>
        </w:rPr>
      </w:pPr>
      <w:r w:rsidRPr="00744283">
        <w:rPr>
          <w:rFonts w:eastAsia="Calibri"/>
        </w:rPr>
        <w:t>45331100-7 Instalowanie centralnego ogrzewania</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możliwości udzielenie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wymaga i nie przewiduje możliwości złożenia ofert w postaci katalogów elektronicznych lub dołączenia katalogów elektronicznych do oferty, w sytuacji określonej w art. 93 ustawy </w:t>
      </w:r>
      <w:proofErr w:type="spellStart"/>
      <w:r w:rsidRPr="007A1F17">
        <w:rPr>
          <w:rFonts w:eastAsia="Calibri"/>
        </w:rPr>
        <w:t>Pzp</w:t>
      </w:r>
      <w:proofErr w:type="spellEnd"/>
      <w:r w:rsidRPr="007A1F17">
        <w:rPr>
          <w:rFonts w:eastAsia="Calibri"/>
        </w:rPr>
        <w:t>.</w:t>
      </w:r>
    </w:p>
    <w:p w14:paraId="31D6AFFB" w14:textId="77777777"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 xml:space="preserve">amawiającym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245A8D1E"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7852AA" w:rsidRPr="00744283">
        <w:rPr>
          <w:rFonts w:eastAsia="Arial"/>
          <w:b/>
          <w:lang w:eastAsia="ar-SA"/>
        </w:rPr>
        <w:t xml:space="preserve">. </w:t>
      </w:r>
      <w:r w:rsidR="007037E2" w:rsidRPr="00744283">
        <w:rPr>
          <w:rFonts w:eastAsia="Arial"/>
          <w:b/>
          <w:lang w:eastAsia="ar-SA"/>
        </w:rPr>
        <w:t xml:space="preserve">6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 xml:space="preserve">od daty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77777777"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8D1AF2" w:rsidRPr="003A0705">
        <w:rPr>
          <w:bCs/>
        </w:rPr>
        <w:t>60</w:t>
      </w:r>
      <w:r w:rsidR="00975715" w:rsidRPr="003A0705">
        <w:rPr>
          <w:bCs/>
        </w:rPr>
        <w:t xml:space="preserve"> miesięcznego okresu gwarancji na wykonane roboty budowlane. Okres gwarancji jest jednym z kryterium oceny ofert</w:t>
      </w:r>
      <w:r w:rsidR="003A0705">
        <w:rPr>
          <w:bCs/>
        </w:rPr>
        <w:t>.</w:t>
      </w:r>
    </w:p>
    <w:p w14:paraId="52591F33" w14:textId="3C04A125" w:rsidR="00E831DE" w:rsidRDefault="00E831DE" w:rsidP="003A0705">
      <w:pPr>
        <w:pStyle w:val="Akapitzlist"/>
        <w:widowControl w:val="0"/>
        <w:tabs>
          <w:tab w:val="left" w:pos="284"/>
          <w:tab w:val="left" w:pos="568"/>
        </w:tabs>
        <w:suppressAutoHyphens/>
        <w:autoSpaceDE w:val="0"/>
        <w:spacing w:before="120" w:after="120"/>
        <w:ind w:left="567" w:right="142"/>
        <w:jc w:val="both"/>
        <w:rPr>
          <w:bCs/>
        </w:rPr>
      </w:pPr>
      <w:r w:rsidRPr="004508CF">
        <w:rPr>
          <w:bCs/>
        </w:rPr>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18A6CB48" w14:textId="77777777" w:rsidR="00BF1EC2" w:rsidRPr="003A0705" w:rsidRDefault="00BF1EC2" w:rsidP="003A0705">
      <w:pPr>
        <w:pStyle w:val="Akapitzlist"/>
        <w:widowControl w:val="0"/>
        <w:tabs>
          <w:tab w:val="left" w:pos="284"/>
          <w:tab w:val="left" w:pos="568"/>
        </w:tabs>
        <w:suppressAutoHyphens/>
        <w:autoSpaceDE w:val="0"/>
        <w:spacing w:before="120" w:after="120"/>
        <w:ind w:left="567" w:right="142"/>
        <w:jc w:val="both"/>
        <w:rPr>
          <w:b/>
          <w:bCs/>
        </w:rPr>
      </w:pP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w:t>
      </w:r>
      <w:proofErr w:type="spellStart"/>
      <w:r w:rsidR="004B2FA5" w:rsidRPr="003A0705">
        <w:rPr>
          <w:b/>
          <w:bCs/>
        </w:rPr>
        <w:t>Pzp</w:t>
      </w:r>
      <w:proofErr w:type="spellEnd"/>
      <w:r w:rsidR="004B2FA5" w:rsidRPr="003A0705">
        <w:rPr>
          <w:b/>
          <w:bCs/>
        </w:rPr>
        <w:t>:</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5" w:name="_Hlk66614441"/>
    </w:p>
    <w:p w14:paraId="603297EA"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lastRenderedPageBreak/>
        <w:t>roboty rozbiórkowe,</w:t>
      </w:r>
    </w:p>
    <w:p w14:paraId="6D64956B"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betoniarski</w:t>
      </w:r>
      <w:r w:rsidR="00D53F99" w:rsidRPr="00BB0420">
        <w:rPr>
          <w:bCs/>
        </w:rPr>
        <w:t>e</w:t>
      </w:r>
      <w:r w:rsidR="00D82FA2" w:rsidRPr="00BB0420">
        <w:rPr>
          <w:bCs/>
        </w:rPr>
        <w:t>,</w:t>
      </w:r>
    </w:p>
    <w:p w14:paraId="3B87A3A4"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murarski</w:t>
      </w:r>
      <w:r w:rsidRPr="00BB0420">
        <w:rPr>
          <w:bCs/>
        </w:rPr>
        <w:t>e</w:t>
      </w:r>
      <w:r w:rsidR="00D82FA2" w:rsidRPr="00BB0420">
        <w:rPr>
          <w:bCs/>
        </w:rPr>
        <w:t>,</w:t>
      </w:r>
    </w:p>
    <w:p w14:paraId="2DFF2A08"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izolacyjne</w:t>
      </w:r>
    </w:p>
    <w:p w14:paraId="5FB9FFF2"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oty</w:t>
      </w:r>
      <w:r w:rsidRPr="00BB0420">
        <w:rPr>
          <w:bCs/>
        </w:rPr>
        <w:t xml:space="preserve"> wykończeniow</w:t>
      </w:r>
      <w:r w:rsidR="00D53F99" w:rsidRPr="00BB0420">
        <w:rPr>
          <w:bCs/>
        </w:rPr>
        <w:t>e</w:t>
      </w:r>
      <w:r w:rsidRPr="00BB0420">
        <w:rPr>
          <w:bCs/>
        </w:rPr>
        <w:t>,</w:t>
      </w:r>
    </w:p>
    <w:p w14:paraId="306386AC"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oty</w:t>
      </w:r>
      <w:r w:rsidRPr="00BB0420">
        <w:rPr>
          <w:bCs/>
        </w:rPr>
        <w:t xml:space="preserve"> elewacyjn</w:t>
      </w:r>
      <w:r w:rsidR="00D53F99" w:rsidRPr="00BB0420">
        <w:rPr>
          <w:bCs/>
        </w:rPr>
        <w:t>e</w:t>
      </w:r>
      <w:r w:rsidRPr="00BB0420">
        <w:rPr>
          <w:bCs/>
        </w:rPr>
        <w:t>,</w:t>
      </w:r>
    </w:p>
    <w:p w14:paraId="731C8E37"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stolarskie,</w:t>
      </w:r>
    </w:p>
    <w:p w14:paraId="7768F77C"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malarskie,</w:t>
      </w:r>
    </w:p>
    <w:p w14:paraId="035F0E98"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 xml:space="preserve">oty </w:t>
      </w:r>
      <w:r w:rsidRPr="00BB0420">
        <w:rPr>
          <w:bCs/>
        </w:rPr>
        <w:t>w zakresie montażu instalacji sanitarnych wewnętrznych i zewnętrznych,</w:t>
      </w:r>
    </w:p>
    <w:p w14:paraId="3E76F24D" w14:textId="77777777" w:rsidR="00BB0420" w:rsidRPr="00BB0420" w:rsidRDefault="00D53F9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w zakresie montażu instalacji elektrycznych</w:t>
      </w:r>
      <w:bookmarkEnd w:id="5"/>
      <w:r w:rsidR="00BB042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Pr="00BB0420">
        <w:rPr>
          <w:bCs/>
        </w:rPr>
        <w:t>t.j</w:t>
      </w:r>
      <w:proofErr w:type="spellEnd"/>
      <w:r w:rsidRPr="00BB0420">
        <w:rPr>
          <w:bCs/>
        </w:rPr>
        <w:t>.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6"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6"/>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sidR="00BF1EC2">
        <w:rPr>
          <w:bCs/>
        </w:rPr>
        <w:t>2</w:t>
      </w:r>
      <w:r w:rsidRPr="00BF1EC2">
        <w:rPr>
          <w:bCs/>
        </w:rPr>
        <w:t>.4 stosuje się odpowiednio.</w:t>
      </w:r>
    </w:p>
    <w:p w14:paraId="3231CE38" w14:textId="304B62BD"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Z tytułu niespełnienia przez Wykonawcę lub podwykonawcę wymogu zatrudnienia na podstawie umowy o pracę osób, wykonujących wskazane w ust. 3.1.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lastRenderedPageBreak/>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 xml:space="preserve">o udzielenie zamówienia mogą ubiegać się Wykonawcy, którzy spełniają warunki udziału wskazane i opisane w Rozdz. </w:t>
      </w:r>
      <w:proofErr w:type="spellStart"/>
      <w:r w:rsidR="00CE55FD">
        <w:t>VIb</w:t>
      </w:r>
      <w:proofErr w:type="spellEnd"/>
      <w:r w:rsidR="00CE55FD">
        <w:t xml:space="preserve">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proofErr w:type="spellStart"/>
      <w:r w:rsidRPr="00EF1349">
        <w:rPr>
          <w:b/>
        </w:rPr>
        <w:t>VIa</w:t>
      </w:r>
      <w:proofErr w:type="spellEnd"/>
      <w:r w:rsidRPr="00EF1349">
        <w:rPr>
          <w:b/>
        </w:rPr>
        <w:t>.</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proofErr w:type="spellStart"/>
      <w:r w:rsidR="007A223E">
        <w:t>Pzp</w:t>
      </w:r>
      <w:proofErr w:type="spellEnd"/>
      <w:r w:rsidR="007A223E">
        <w:t xml:space="preserve">, </w:t>
      </w:r>
      <w:r>
        <w:t xml:space="preserve">z zastrzeżeniem art. 110 ust. 2 </w:t>
      </w:r>
      <w:proofErr w:type="spellStart"/>
      <w:r>
        <w:t>Pzp</w:t>
      </w:r>
      <w:proofErr w:type="spellEnd"/>
      <w:r>
        <w:t xml:space="preserve">,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25EE0A70"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którym mowa w art. 228–230a, art. 250a Kodeksu karnego lub w art. 46 lub art. 48 ustawy z dnia 25 czerwca 2010 r. o sporcie,</w:t>
      </w:r>
    </w:p>
    <w:p w14:paraId="7F8A69A6"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lastRenderedPageBreak/>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xml:space="preserve">, w przypadkach, o których mowa w art. 85 ust. 1 </w:t>
      </w:r>
      <w:proofErr w:type="spellStart"/>
      <w:r w:rsidR="00A73408" w:rsidRPr="007026DA">
        <w:rPr>
          <w:bCs/>
        </w:rPr>
        <w:t>Pzp</w:t>
      </w:r>
      <w:proofErr w:type="spellEnd"/>
      <w:r w:rsidR="00A73408" w:rsidRPr="007026DA">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w:t>
      </w:r>
      <w:proofErr w:type="spellStart"/>
      <w:r w:rsidRPr="00CD6B06">
        <w:rPr>
          <w:bCs/>
        </w:rPr>
        <w:t>Pzp</w:t>
      </w:r>
      <w:proofErr w:type="spellEnd"/>
      <w:r w:rsidRPr="00CD6B06">
        <w:rPr>
          <w:bCs/>
        </w:rPr>
        <w:t>.</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w:t>
      </w:r>
      <w:proofErr w:type="spellStart"/>
      <w:r w:rsidR="007A223E" w:rsidRPr="007026DA">
        <w:rPr>
          <w:bCs/>
        </w:rPr>
        <w:t>Pzp</w:t>
      </w:r>
      <w:proofErr w:type="spellEnd"/>
      <w:r w:rsidR="007A223E" w:rsidRPr="007026DA">
        <w:rPr>
          <w:bCs/>
        </w:rPr>
        <w:t>:</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w:t>
      </w:r>
      <w:proofErr w:type="spellStart"/>
      <w:r w:rsidR="007A223E" w:rsidRPr="005F5835">
        <w:rPr>
          <w:bCs/>
        </w:rPr>
        <w:t>Pzp</w:t>
      </w:r>
      <w:proofErr w:type="spellEnd"/>
      <w:r w:rsidR="007A223E" w:rsidRPr="005F5835">
        <w:rPr>
          <w:bCs/>
        </w:rPr>
        <w:t>:</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2D674581"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proofErr w:type="spellStart"/>
      <w:r>
        <w:rPr>
          <w:b/>
          <w:bCs/>
        </w:rPr>
        <w:t>VIb</w:t>
      </w:r>
      <w:proofErr w:type="spellEnd"/>
      <w:r>
        <w:rPr>
          <w:b/>
          <w:bCs/>
        </w:rPr>
        <w:t xml:space="preserve">.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w:t>
      </w:r>
      <w:proofErr w:type="spellStart"/>
      <w:r w:rsidRPr="008260AC">
        <w:rPr>
          <w:bCs/>
        </w:rPr>
        <w:t>Pzp</w:t>
      </w:r>
      <w:proofErr w:type="spellEnd"/>
      <w:r w:rsidRPr="008260AC">
        <w:rPr>
          <w:bCs/>
        </w:rPr>
        <w:t xml:space="preserve">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7777777" w:rsidR="008260AC" w:rsidRDefault="00AE7B6C" w:rsidP="00B25CB7">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 xml:space="preserve">podmiotowych środków </w:t>
      </w:r>
      <w:r w:rsidR="00897D42" w:rsidRPr="00EA2281">
        <w:rPr>
          <w:bCs/>
        </w:rPr>
        <w:lastRenderedPageBreak/>
        <w:t>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154D24E1" w14:textId="4372D133" w:rsidR="002C1A39" w:rsidRPr="00082E2C" w:rsidRDefault="002C1A39" w:rsidP="00B25CB7">
            <w:pPr>
              <w:pStyle w:val="Akapitzlist"/>
              <w:numPr>
                <w:ilvl w:val="0"/>
                <w:numId w:val="27"/>
              </w:numPr>
              <w:autoSpaceDE w:val="0"/>
              <w:autoSpaceDN w:val="0"/>
              <w:adjustRightInd w:val="0"/>
              <w:ind w:left="324" w:right="142" w:hanging="284"/>
              <w:jc w:val="both"/>
              <w:rPr>
                <w:bCs/>
                <w:kern w:val="32"/>
              </w:rPr>
            </w:pPr>
            <w:r w:rsidRPr="00082E2C">
              <w:rPr>
                <w:b/>
                <w:bCs/>
                <w:shd w:val="clear" w:color="auto" w:fill="FFFFFF"/>
              </w:rPr>
              <w:t>2 roboty budowlane</w:t>
            </w:r>
            <w:r w:rsidR="00082E2C">
              <w:rPr>
                <w:b/>
                <w:bCs/>
                <w:shd w:val="clear" w:color="auto" w:fill="FFFFFF"/>
              </w:rPr>
              <w:t>,</w:t>
            </w:r>
            <w:r w:rsidRPr="00082E2C">
              <w:rPr>
                <w:shd w:val="clear" w:color="auto" w:fill="FFFFFF"/>
              </w:rPr>
              <w:t xml:space="preserve"> któr</w:t>
            </w:r>
            <w:r w:rsidR="00082E2C">
              <w:rPr>
                <w:shd w:val="clear" w:color="auto" w:fill="FFFFFF"/>
              </w:rPr>
              <w:t>e</w:t>
            </w:r>
            <w:r w:rsidRPr="00082E2C">
              <w:rPr>
                <w:shd w:val="clear" w:color="auto" w:fill="FFFFFF"/>
              </w:rPr>
              <w:t xml:space="preserve"> dotyczyły lub swoim zakresem obejmowały budowę</w:t>
            </w:r>
            <w:r w:rsidR="00B24B87" w:rsidRPr="00082E2C">
              <w:rPr>
                <w:shd w:val="clear" w:color="auto" w:fill="FFFFFF"/>
              </w:rPr>
              <w:t>, przebudowę</w:t>
            </w:r>
            <w:r w:rsidRPr="00082E2C">
              <w:rPr>
                <w:shd w:val="clear" w:color="auto" w:fill="FFFFFF"/>
              </w:rPr>
              <w:t xml:space="preserve"> budynku mieszkalnego lub zmianę sposobu użytkowania budynku, przeznaczonego dla więcej niż dwóch rodzin, o powierzchni użytkowej nie mniejszej niż </w:t>
            </w:r>
            <w:r w:rsidR="00B24B87" w:rsidRPr="00082E2C">
              <w:rPr>
                <w:shd w:val="clear" w:color="auto" w:fill="FFFFFF"/>
              </w:rPr>
              <w:t>4</w:t>
            </w:r>
            <w:r w:rsidR="00123D7E" w:rsidRPr="00082E2C">
              <w:rPr>
                <w:shd w:val="clear" w:color="auto" w:fill="FFFFFF"/>
              </w:rPr>
              <w:t>00,00 m</w:t>
            </w:r>
            <w:r w:rsidR="00123D7E" w:rsidRPr="00082E2C">
              <w:rPr>
                <w:shd w:val="clear" w:color="auto" w:fill="FFFFFF"/>
                <w:vertAlign w:val="superscript"/>
              </w:rPr>
              <w:t>2</w:t>
            </w:r>
            <w:r w:rsidR="00123D7E" w:rsidRPr="00082E2C">
              <w:rPr>
                <w:shd w:val="clear" w:color="auto" w:fill="FFFFFF"/>
              </w:rPr>
              <w:t xml:space="preserve"> każdy budynek.</w:t>
            </w:r>
          </w:p>
          <w:p w14:paraId="6302C61A" w14:textId="771254D3" w:rsidR="00F37CE0" w:rsidRPr="00D44CE0" w:rsidRDefault="00F37CE0" w:rsidP="00833310">
            <w:pPr>
              <w:ind w:left="284" w:right="142"/>
              <w:contextualSpacing/>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1EE26149" w14:textId="26D069CC" w:rsidR="006241ED" w:rsidRDefault="006241ED" w:rsidP="00082E2C">
            <w:pPr>
              <w:tabs>
                <w:tab w:val="left" w:pos="851"/>
              </w:tabs>
              <w:spacing w:after="40"/>
              <w:ind w:left="40" w:right="142"/>
              <w:contextualSpacing/>
              <w:jc w:val="both"/>
              <w:rPr>
                <w:bCs/>
                <w:color w:val="000000" w:themeColor="text1"/>
              </w:rPr>
            </w:pPr>
            <w:r>
              <w:rPr>
                <w:bCs/>
                <w:color w:val="000000" w:themeColor="text1"/>
              </w:rPr>
              <w:t>Jeżeli Wykonawca powołuje się na doświadczenie w realizacji robót wykonywanych wspólnie z innymi Wykonawcami, wówczas w wykazie należy wskazać roboty budowlane, w których wykonaniu Wykonawca ten bezpośrednio uczestniczył.</w:t>
            </w:r>
          </w:p>
          <w:p w14:paraId="2477808B" w14:textId="77777777" w:rsidR="00082E2C" w:rsidRDefault="00082E2C"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516CF6F"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posiadająca doświadczenie jako kierownik budowy przy co najmniej dwóch zrealizowanych inwestycjach (zakończonych do dnia otwarcia ofert) polegających na</w:t>
            </w:r>
            <w:r w:rsidR="00785D9E" w:rsidRPr="007B1837">
              <w:rPr>
                <w:bCs/>
              </w:rPr>
              <w:t xml:space="preserve"> budowie, przebudowie </w:t>
            </w:r>
            <w:r w:rsidR="00785D9E" w:rsidRPr="007B1837">
              <w:rPr>
                <w:shd w:val="clear" w:color="auto" w:fill="FFFFFF"/>
              </w:rPr>
              <w:t>lub zmianie sposobu użytkowania budynku</w:t>
            </w:r>
            <w:r w:rsidRPr="007B1837">
              <w:rPr>
                <w:bCs/>
              </w:rPr>
              <w:t xml:space="preserve">, przeznaczonego dla więcej niż dwóch rodzin o powierzchni użytkowej nie mniejszej niż </w:t>
            </w:r>
            <w:r w:rsidR="00785D9E" w:rsidRPr="006635E5">
              <w:rPr>
                <w:bCs/>
              </w:rPr>
              <w:t xml:space="preserve">400 </w:t>
            </w:r>
            <w:r w:rsidR="00123D7E" w:rsidRPr="006635E5">
              <w:rPr>
                <w:bCs/>
              </w:rPr>
              <w:t>m</w:t>
            </w:r>
            <w:r w:rsidR="00123D7E" w:rsidRPr="006635E5">
              <w:rPr>
                <w:bCs/>
                <w:vertAlign w:val="superscript"/>
              </w:rPr>
              <w:t>2</w:t>
            </w:r>
            <w:r w:rsidR="00123D7E" w:rsidRPr="006635E5">
              <w:rPr>
                <w:bCs/>
              </w:rPr>
              <w:t xml:space="preserve"> </w:t>
            </w:r>
            <w:r w:rsidR="00123D7E" w:rsidRPr="007B1837">
              <w:rPr>
                <w:bCs/>
              </w:rPr>
              <w:t>każdy (powierzchnia użytkowa).</w:t>
            </w:r>
          </w:p>
          <w:p w14:paraId="033C59FF" w14:textId="77777777" w:rsidR="00826313" w:rsidRPr="00D44CE0" w:rsidRDefault="00826313" w:rsidP="00082E2C">
            <w:pPr>
              <w:widowControl w:val="0"/>
              <w:suppressAutoHyphens/>
              <w:ind w:left="40" w:right="142"/>
              <w:contextualSpacing/>
              <w:jc w:val="both"/>
            </w:pPr>
          </w:p>
          <w:p w14:paraId="2BA3F4B7" w14:textId="77777777"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p>
          <w:p w14:paraId="10010AE0" w14:textId="4B9638D3" w:rsidR="00415D2E" w:rsidRPr="007B1837"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007C6DD9"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20</w:t>
            </w:r>
            <w:r>
              <w:rPr>
                <w:rFonts w:eastAsia="Calibri"/>
              </w:rPr>
              <w:t>r. poz. 1</w:t>
            </w:r>
            <w:r w:rsidR="00D32201">
              <w:rPr>
                <w:rFonts w:eastAsia="Calibri"/>
              </w:rPr>
              <w:t>333</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20</w:t>
            </w:r>
            <w:r w:rsidR="007B1837">
              <w:rPr>
                <w:rFonts w:eastAsia="Calibri"/>
              </w:rPr>
              <w:t xml:space="preserve">, </w:t>
            </w:r>
            <w:r>
              <w:rPr>
                <w:rFonts w:eastAsia="Calibri"/>
              </w:rPr>
              <w:t>poz. 2</w:t>
            </w:r>
            <w:r w:rsidR="001E550C">
              <w:rPr>
                <w:rFonts w:eastAsia="Calibri"/>
              </w:rPr>
              <w:t>20</w:t>
            </w:r>
            <w:r>
              <w:rPr>
                <w:rFonts w:eastAsia="Calibri"/>
              </w:rPr>
              <w:t>, ze zm.).</w:t>
            </w:r>
          </w:p>
        </w:tc>
      </w:tr>
    </w:tbl>
    <w:p w14:paraId="376EDB64" w14:textId="77777777" w:rsidR="00694C79" w:rsidRDefault="00763C03" w:rsidP="00B25CB7">
      <w:pPr>
        <w:pStyle w:val="Akapitzlist1"/>
        <w:numPr>
          <w:ilvl w:val="1"/>
          <w:numId w:val="1"/>
        </w:numPr>
        <w:spacing w:after="120"/>
        <w:ind w:left="851" w:right="142" w:hanging="425"/>
        <w:contextualSpacing/>
        <w:rPr>
          <w:iCs/>
        </w:rPr>
      </w:pPr>
      <w:r>
        <w:rPr>
          <w:iCs/>
        </w:rPr>
        <w:lastRenderedPageBreak/>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sidR="005B4236">
        <w:rPr>
          <w:iCs/>
        </w:rPr>
        <w:t>4.1 i 4.2</w:t>
      </w:r>
      <w:r w:rsidRPr="00935D04">
        <w:rPr>
          <w:iCs/>
        </w:rPr>
        <w:t xml:space="preserve">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 xml:space="preserve">ustawy </w:t>
      </w:r>
      <w:proofErr w:type="spellStart"/>
      <w:r w:rsidRPr="00935D04">
        <w:rPr>
          <w:iCs/>
        </w:rPr>
        <w:t>Pzp</w:t>
      </w:r>
      <w:proofErr w:type="spellEnd"/>
      <w:r w:rsidRPr="00935D04">
        <w:rPr>
          <w:iCs/>
        </w:rPr>
        <w:t>).</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 xml:space="preserve">czy i w jakim zakresie podmiot udostępniający zasoby, na zdolnościach którego Wykonawca polega,  zrealizuje roboty budowlane, których wskazane zdolności dotyczą (art. 118 ust 4 pkt 3 ustawy </w:t>
      </w:r>
      <w:proofErr w:type="spellStart"/>
      <w:r w:rsidRPr="00694C79">
        <w:rPr>
          <w:iCs/>
        </w:rPr>
        <w:t>Pzp</w:t>
      </w:r>
      <w:proofErr w:type="spellEnd"/>
      <w:r w:rsidRPr="00694C79">
        <w:rPr>
          <w:iCs/>
        </w:rPr>
        <w:t>)</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t>Spełnianie warunków udziału przez Wykonawców wspólnie ubiegających się o udzielenie zamówienia, konsorcjum.</w:t>
      </w:r>
    </w:p>
    <w:p w14:paraId="443E9C8E" w14:textId="4424DD38"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 xml:space="preserve">W przypadku wspólnego ubiegania się o zamówienie przez Wykonawców, konsorcjum Wykonawców dokumenty wymienione w pkt </w:t>
      </w:r>
      <w:proofErr w:type="spellStart"/>
      <w:r w:rsidRPr="00694C79">
        <w:rPr>
          <w:bCs/>
          <w:color w:val="000000"/>
        </w:rPr>
        <w:t>VI</w:t>
      </w:r>
      <w:r w:rsidR="00A05E00" w:rsidRPr="00694C79">
        <w:rPr>
          <w:bCs/>
          <w:color w:val="000000"/>
        </w:rPr>
        <w:t>b</w:t>
      </w:r>
      <w:proofErr w:type="spellEnd"/>
      <w:r w:rsidRPr="00694C79">
        <w:rPr>
          <w:bCs/>
          <w:color w:val="000000"/>
        </w:rPr>
        <w:t xml:space="preserve"> </w:t>
      </w:r>
      <w:proofErr w:type="spellStart"/>
      <w:r w:rsidRPr="00694C79">
        <w:rPr>
          <w:bCs/>
          <w:color w:val="000000"/>
        </w:rPr>
        <w:t>ppkt</w:t>
      </w:r>
      <w:proofErr w:type="spellEnd"/>
      <w:r w:rsidRPr="00694C79">
        <w:rPr>
          <w:bCs/>
          <w:color w:val="000000"/>
        </w:rPr>
        <w:t xml:space="preserve"> </w:t>
      </w:r>
      <w:r w:rsidR="00A05E00" w:rsidRPr="00694C79">
        <w:rPr>
          <w:bCs/>
          <w:color w:val="000000"/>
        </w:rPr>
        <w:t>4</w:t>
      </w:r>
      <w:r w:rsidRPr="00694C79">
        <w:rPr>
          <w:bCs/>
          <w:color w:val="000000"/>
        </w:rPr>
        <w:t>.</w:t>
      </w:r>
      <w:r w:rsidR="005B4236" w:rsidRPr="00694C79">
        <w:rPr>
          <w:bCs/>
          <w:color w:val="000000"/>
        </w:rPr>
        <w:t>1</w:t>
      </w:r>
      <w:r w:rsidRPr="00694C79">
        <w:rPr>
          <w:bCs/>
          <w:color w:val="000000"/>
        </w:rPr>
        <w:t xml:space="preserve">. i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18AF4D1" w14:textId="77777777" w:rsidR="00694C79" w:rsidRPr="00694C79" w:rsidRDefault="00763C03" w:rsidP="0024238B">
      <w:pPr>
        <w:pStyle w:val="Akapitzlist"/>
        <w:numPr>
          <w:ilvl w:val="0"/>
          <w:numId w:val="32"/>
        </w:numPr>
        <w:tabs>
          <w:tab w:val="left" w:pos="1134"/>
        </w:tabs>
        <w:spacing w:before="120" w:after="120"/>
        <w:ind w:left="1134" w:right="142" w:hanging="283"/>
        <w:contextualSpacing w:val="0"/>
        <w:jc w:val="both"/>
        <w:rPr>
          <w:u w:val="single"/>
        </w:rPr>
      </w:pPr>
      <w:r>
        <w:t xml:space="preserve">przez jednego Wykonawcę – </w:t>
      </w:r>
      <w:r w:rsidRPr="00F80A0D">
        <w:t>w zakresie posiadania</w:t>
      </w:r>
      <w:r>
        <w:t xml:space="preserve"> osoby do realizacji zamówienia i/lub doświadczenia,</w:t>
      </w:r>
    </w:p>
    <w:p w14:paraId="1A97553E" w14:textId="7F4DD866" w:rsidR="003A6D91" w:rsidRDefault="00763C03" w:rsidP="0024238B">
      <w:pPr>
        <w:pStyle w:val="Akapitzlist"/>
        <w:tabs>
          <w:tab w:val="left" w:pos="1134"/>
        </w:tabs>
        <w:spacing w:before="120" w:after="120"/>
        <w:ind w:left="1134" w:right="142"/>
        <w:contextualSpacing w:val="0"/>
        <w:jc w:val="both"/>
      </w:pPr>
      <w:r>
        <w:t>lub</w:t>
      </w:r>
    </w:p>
    <w:p w14:paraId="7BCB3730" w14:textId="46DCAAF5" w:rsidR="00763C03" w:rsidRPr="003A6D91" w:rsidRDefault="004B3E37" w:rsidP="0024238B">
      <w:pPr>
        <w:pStyle w:val="Akapitzlist"/>
        <w:numPr>
          <w:ilvl w:val="0"/>
          <w:numId w:val="35"/>
        </w:numPr>
        <w:tabs>
          <w:tab w:val="left" w:pos="1134"/>
        </w:tabs>
        <w:spacing w:before="120" w:after="120"/>
        <w:ind w:left="1134" w:right="142" w:hanging="283"/>
        <w:contextualSpacing w:val="0"/>
        <w:jc w:val="both"/>
        <w:rPr>
          <w:u w:val="single"/>
        </w:rPr>
      </w:pPr>
      <w:r>
        <w:t>ł</w:t>
      </w:r>
      <w:r w:rsidR="00763C03" w:rsidRPr="004663B7">
        <w:t xml:space="preserve">ącznie przez 2 lub więcej Wykonawców/łącznie przez wszystkich Wykonawców wspólnie ubiegających się o udzielenie zamówienia (np. doświadczenie </w:t>
      </w:r>
      <w:r w:rsidR="00763C03">
        <w:t xml:space="preserve">– wykaz wykonany robót budowlanych </w:t>
      </w:r>
      <w:r w:rsidR="00763C03" w:rsidRPr="004663B7">
        <w:t xml:space="preserve">wykazuje jeden z Wykonawców, </w:t>
      </w:r>
      <w:r w:rsidR="00763C03">
        <w:t>osoby wymagane na spełnienie warunku udziału</w:t>
      </w:r>
      <w:r w:rsidR="00763C03" w:rsidRPr="004663B7">
        <w:t xml:space="preserve"> inni Wykonawcy</w:t>
      </w:r>
      <w:r w:rsidR="00763C03">
        <w:t xml:space="preserve">). </w:t>
      </w:r>
    </w:p>
    <w:p w14:paraId="6ABC7A3F" w14:textId="1CA4FC77" w:rsidR="00BA5CDC" w:rsidRPr="004841E4" w:rsidRDefault="006241ED" w:rsidP="0024238B">
      <w:pPr>
        <w:tabs>
          <w:tab w:val="left" w:pos="709"/>
          <w:tab w:val="left" w:pos="851"/>
        </w:tabs>
        <w:autoSpaceDE w:val="0"/>
        <w:autoSpaceDN w:val="0"/>
        <w:adjustRightInd w:val="0"/>
        <w:spacing w:before="120" w:after="120"/>
        <w:ind w:left="709" w:right="142"/>
        <w:jc w:val="both"/>
        <w:rPr>
          <w:bCs/>
          <w:u w:val="single"/>
        </w:rPr>
      </w:pPr>
      <w:r w:rsidRPr="006241ED">
        <w:rPr>
          <w:bCs/>
          <w:u w:val="single"/>
        </w:rPr>
        <w:lastRenderedPageBreak/>
        <w:t xml:space="preserve">Ponadto, zgodnie z art. 117 ust 4 ustawy </w:t>
      </w:r>
      <w:proofErr w:type="spellStart"/>
      <w:r w:rsidRPr="006241ED">
        <w:rPr>
          <w:bCs/>
          <w:u w:val="single"/>
        </w:rPr>
        <w:t>Pzp</w:t>
      </w:r>
      <w:proofErr w:type="spellEnd"/>
      <w:r w:rsidRPr="006241ED">
        <w:rPr>
          <w:bCs/>
          <w:u w:val="single"/>
        </w:rPr>
        <w:t>, Wykonawcy wspólnie ubiegający się o udzielenie zamówienia, dołączają do oferty oświadczenie, z którego wynika, które roboty budowlane 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Rozporządzeniem Ministra Rozwoju, Pracy i 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 xml:space="preserve">art. 128 ustawy </w:t>
      </w:r>
      <w:proofErr w:type="spellStart"/>
      <w:r w:rsidRPr="00694C79">
        <w:rPr>
          <w:b/>
          <w:bCs/>
          <w:u w:val="single"/>
        </w:rPr>
        <w:t>Pzp</w:t>
      </w:r>
      <w:proofErr w:type="spellEnd"/>
      <w:r w:rsidRPr="00694C79">
        <w:rPr>
          <w:b/>
          <w:bCs/>
          <w:u w:val="single"/>
        </w:rPr>
        <w:t xml:space="preserve">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2E591C42" w:rsidR="0019522E" w:rsidRPr="0019522E"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 xml:space="preserve">Zgodnie z art. 127 ustawy </w:t>
      </w:r>
      <w:proofErr w:type="spellStart"/>
      <w:r w:rsidRPr="000B6C22">
        <w:rPr>
          <w:bCs/>
        </w:rPr>
        <w:t>Pzp</w:t>
      </w:r>
      <w:proofErr w:type="spellEnd"/>
      <w:r w:rsidRPr="000B6C22">
        <w:rPr>
          <w:bC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1AC3EA1A" w14:textId="2738E4B2" w:rsidR="00671516" w:rsidRPr="000B6C22" w:rsidRDefault="00705CE5" w:rsidP="0019522E">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740B3322" w14:textId="77777777" w:rsidR="000B6C22" w:rsidRDefault="000B6C22" w:rsidP="000B6C22">
      <w:pPr>
        <w:widowControl w:val="0"/>
        <w:tabs>
          <w:tab w:val="left" w:pos="284"/>
        </w:tabs>
        <w:suppressAutoHyphens/>
        <w:autoSpaceDE w:val="0"/>
        <w:ind w:right="142"/>
        <w:contextualSpacing/>
        <w:jc w:val="both"/>
        <w:rPr>
          <w:bCs/>
          <w:lang w:eastAsia="en-US"/>
        </w:rPr>
      </w:pP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77777777"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05F2CD16" w14:textId="77777777" w:rsidR="00EF1349" w:rsidRDefault="00EF1349" w:rsidP="00EF1349">
      <w:pPr>
        <w:autoSpaceDE w:val="0"/>
        <w:autoSpaceDN w:val="0"/>
        <w:adjustRightInd w:val="0"/>
        <w:spacing w:after="142"/>
        <w:ind w:left="284"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3"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lastRenderedPageBreak/>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w:t>
      </w:r>
      <w:proofErr w:type="spellStart"/>
      <w:r w:rsidRPr="00022AF6">
        <w:rPr>
          <w:color w:val="000000"/>
        </w:rPr>
        <w:t>pzp</w:t>
      </w:r>
      <w:proofErr w:type="spellEnd"/>
      <w:r w:rsidRPr="00022AF6">
        <w:rPr>
          <w:color w:val="000000"/>
        </w:rPr>
        <w:t>, podmiotowych środków dowodowych, przedmiotowych środków dowodowych 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833310">
      <w:pPr>
        <w:autoSpaceDE w:val="0"/>
        <w:autoSpaceDN w:val="0"/>
        <w:adjustRightInd w:val="0"/>
        <w:spacing w:after="142"/>
        <w:ind w:left="284"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4"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5"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6"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7"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lastRenderedPageBreak/>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dokumentów lub oświadczeń, jakich może żądać zamawiający od wykonawców (Dz. U. z </w:t>
      </w:r>
      <w:r w:rsidR="006B61C8" w:rsidRPr="0085443C">
        <w:t xml:space="preserve">2020 r., poz. 2415 ze zmianami) </w:t>
      </w:r>
      <w:bookmarkStart w:id="7" w:name="_Hlk66551254"/>
      <w:r w:rsidR="006B61C8" w:rsidRPr="0085443C">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7"/>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11B8F">
        <w:rPr>
          <w:color w:val="000000"/>
        </w:rPr>
        <w:t>t.j</w:t>
      </w:r>
      <w:proofErr w:type="spellEnd"/>
      <w:r w:rsidRPr="00311B8F">
        <w:rPr>
          <w:color w:val="000000"/>
        </w:rPr>
        <w:t>.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w:t>
      </w:r>
      <w:proofErr w:type="spellStart"/>
      <w:r w:rsidRPr="00311B8F">
        <w:rPr>
          <w:color w:val="000000"/>
        </w:rPr>
        <w:t>msi</w:t>
      </w:r>
      <w:proofErr w:type="spellEnd"/>
      <w:r w:rsidRPr="00311B8F">
        <w:rPr>
          <w:color w:val="000000"/>
        </w:rPr>
        <w:t>.</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lastRenderedPageBreak/>
        <w:t>Zamawiający zam</w:t>
      </w:r>
      <w:r w:rsidR="00054C00">
        <w:t>ieszcza na stronie internetowej:</w:t>
      </w:r>
    </w:p>
    <w:p w14:paraId="598D2B7D" w14:textId="77777777" w:rsidR="001974F4" w:rsidRDefault="006B7368" w:rsidP="001974F4">
      <w:pPr>
        <w:pStyle w:val="Akapitzlist"/>
        <w:autoSpaceDE w:val="0"/>
        <w:autoSpaceDN w:val="0"/>
        <w:adjustRightInd w:val="0"/>
        <w:spacing w:before="120" w:after="120"/>
        <w:ind w:left="709" w:right="142"/>
        <w:jc w:val="both"/>
      </w:pPr>
      <w:hyperlink r:id="rId18"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informację z otwarcia ofert, </w:t>
      </w:r>
      <w:r w:rsidRPr="0049337A">
        <w:t xml:space="preserve">o której mowa w art. </w:t>
      </w:r>
      <w:r w:rsidR="0049337A" w:rsidRPr="0049337A">
        <w:t>222 ust 5</w:t>
      </w:r>
      <w:r w:rsidRPr="0049337A">
        <w:t xml:space="preserve"> ustawy </w:t>
      </w:r>
      <w:proofErr w:type="spellStart"/>
      <w:r w:rsidRPr="0049337A">
        <w:t>Pzp</w:t>
      </w:r>
      <w:proofErr w:type="spellEnd"/>
      <w:r w:rsidRPr="0049337A">
        <w:t xml:space="preserve">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informacje zgodnie </w:t>
      </w:r>
      <w:r w:rsidRPr="00DA74A3">
        <w:t xml:space="preserve">z art. </w:t>
      </w:r>
      <w:r w:rsidR="00DA74A3" w:rsidRPr="00DA74A3">
        <w:t xml:space="preserve">253 </w:t>
      </w:r>
      <w:r w:rsidRPr="00DA74A3">
        <w:t xml:space="preserve">ustawy </w:t>
      </w:r>
      <w:proofErr w:type="spellStart"/>
      <w:r w:rsidRPr="00DA74A3">
        <w:t>Pzp</w:t>
      </w:r>
      <w:proofErr w:type="spellEnd"/>
      <w:r w:rsidRPr="00DA74A3">
        <w:t xml:space="preserve">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 xml:space="preserve">Maria </w:t>
      </w:r>
      <w:proofErr w:type="spellStart"/>
      <w:r w:rsidRPr="00744283">
        <w:t>Pytelewska</w:t>
      </w:r>
      <w:proofErr w:type="spellEnd"/>
      <w:r w:rsidR="00515B80" w:rsidRPr="00744283">
        <w:t xml:space="preserve"> e-mail</w:t>
      </w:r>
      <w:r w:rsidR="00936207" w:rsidRPr="00744283">
        <w:t xml:space="preserve">: </w:t>
      </w:r>
      <w:hyperlink r:id="rId19"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77777777"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77777777" w:rsidR="00936207" w:rsidRDefault="00936207"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2A56B1A2"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F37CE0" w:rsidRPr="00805F53">
        <w:rPr>
          <w:color w:val="000000"/>
          <w:spacing w:val="-1"/>
        </w:rPr>
        <w:t>1</w:t>
      </w:r>
      <w:r w:rsidR="001447B1">
        <w:rPr>
          <w:color w:val="000000"/>
          <w:spacing w:val="-1"/>
        </w:rPr>
        <w:t>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E8AC53B"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lastRenderedPageBreak/>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6836349D" w14:textId="77777777" w:rsidR="00805F53" w:rsidRDefault="00805F53" w:rsidP="00805F53">
      <w:pPr>
        <w:pStyle w:val="Akapitzlist"/>
        <w:shd w:val="clear" w:color="auto" w:fill="FFFFFF"/>
        <w:tabs>
          <w:tab w:val="left" w:pos="284"/>
        </w:tabs>
        <w:spacing w:before="120" w:after="120"/>
        <w:ind w:left="851" w:right="142"/>
        <w:jc w:val="both"/>
        <w:rPr>
          <w:color w:val="000000"/>
          <w:spacing w:val="-1"/>
        </w:rPr>
      </w:pPr>
    </w:p>
    <w:p w14:paraId="2365B086" w14:textId="5C610F1F"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Starej Białej </w:t>
      </w:r>
      <w:r w:rsidR="00781640" w:rsidRPr="00A40C7C">
        <w:rPr>
          <w:spacing w:val="-1"/>
        </w:rPr>
        <w:t>89 9038 0004 8420 0619 2000 0020</w:t>
      </w:r>
      <w:r w:rsidR="00FD35FD">
        <w:rPr>
          <w:spacing w:val="-1"/>
        </w:rPr>
        <w:t xml:space="preserve"> </w:t>
      </w:r>
      <w:r w:rsidR="00515B80" w:rsidRPr="00FD35FD">
        <w:rPr>
          <w:spacing w:val="-1"/>
        </w:rPr>
        <w:t>z dopiskiem „wadium dot. postępowania</w:t>
      </w:r>
      <w:r w:rsidR="00975715" w:rsidRPr="00FD35FD">
        <w:rPr>
          <w:spacing w:val="-1"/>
        </w:rPr>
        <w:t xml:space="preserve"> </w:t>
      </w:r>
      <w:proofErr w:type="spellStart"/>
      <w:r w:rsidR="003F1778" w:rsidRPr="00FD35FD">
        <w:rPr>
          <w:spacing w:val="-1"/>
        </w:rPr>
        <w:t>ZGKiM.IiZP</w:t>
      </w:r>
      <w:proofErr w:type="spellEnd"/>
      <w:r w:rsidR="003F1778" w:rsidRPr="00FD35FD">
        <w:rPr>
          <w:spacing w:val="-1"/>
        </w:rPr>
        <w:t>/2/</w:t>
      </w:r>
      <w:r w:rsidR="00805F53" w:rsidRPr="00FD35FD">
        <w:rPr>
          <w:spacing w:val="-1"/>
        </w:rPr>
        <w:t>8</w:t>
      </w:r>
      <w:r w:rsidR="003F1778" w:rsidRPr="00FD35FD">
        <w:rPr>
          <w:spacing w:val="-1"/>
        </w:rPr>
        <w:t xml:space="preserve">/2021 </w:t>
      </w:r>
      <w:r w:rsidR="00515B80" w:rsidRPr="00FD35FD">
        <w:rPr>
          <w:spacing w:val="-1"/>
        </w:rPr>
        <w:t xml:space="preserve">- </w:t>
      </w:r>
      <w:r w:rsidR="00921892" w:rsidRPr="00FD35FD">
        <w:rPr>
          <w:spacing w:val="-1"/>
        </w:rPr>
        <w:t xml:space="preserve">Zmiana sposobu użytkowania budynku </w:t>
      </w:r>
      <w:r w:rsidR="003F1778" w:rsidRPr="00FD35FD">
        <w:rPr>
          <w:spacing w:val="-1"/>
        </w:rPr>
        <w:t>przy ul. Armii Krajowej 1</w:t>
      </w:r>
      <w:r w:rsidR="007C4FB3" w:rsidRPr="00FD35FD">
        <w:rPr>
          <w:spacing w:val="-1"/>
        </w:rPr>
        <w:t xml:space="preserve">A </w:t>
      </w:r>
      <w:r w:rsidR="000C6C19" w:rsidRPr="00FD35FD">
        <w:rPr>
          <w:spacing w:val="-1"/>
        </w:rPr>
        <w:t>w Sierpcu.</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xml:space="preserve">, o których mowa w ustawie </w:t>
      </w:r>
      <w:proofErr w:type="spellStart"/>
      <w:r w:rsidR="00581762" w:rsidRPr="00EA5439">
        <w:rPr>
          <w:color w:val="000000"/>
          <w:spacing w:val="-1"/>
        </w:rPr>
        <w:t>P</w:t>
      </w:r>
      <w:r w:rsidRPr="00EA5439">
        <w:rPr>
          <w:color w:val="000000"/>
          <w:spacing w:val="-1"/>
        </w:rPr>
        <w:t>zp</w:t>
      </w:r>
      <w:proofErr w:type="spellEnd"/>
      <w:r w:rsidRPr="00EA5439">
        <w:rPr>
          <w:color w:val="000000"/>
          <w:spacing w:val="-1"/>
        </w:rPr>
        <w:t>.</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Zaleca się umieszczenie w 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244E63F"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lastRenderedPageBreak/>
        <w:t>nie wniósł wymaganego zabezpieczenia należytego wykonania umowy;</w:t>
      </w:r>
    </w:p>
    <w:p w14:paraId="7590B65C" w14:textId="77777777" w:rsidR="00EA5439" w:rsidRDefault="00EA5439" w:rsidP="00EA5439">
      <w:pPr>
        <w:pStyle w:val="Akapitzlist"/>
        <w:shd w:val="clear" w:color="auto" w:fill="FFFFFF"/>
        <w:tabs>
          <w:tab w:val="left" w:pos="426"/>
        </w:tabs>
        <w:spacing w:before="120" w:after="120"/>
        <w:ind w:left="1134" w:right="142"/>
        <w:jc w:val="both"/>
        <w:rPr>
          <w:color w:val="000000"/>
          <w:spacing w:val="-1"/>
        </w:rPr>
      </w:pP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zawarcie umowy w sprawie zamówienia publicznego stało się niemożliwe z przyczyn leżących po stronie wykonawcy, którego oferta została wybrana.</w:t>
      </w:r>
    </w:p>
    <w:p w14:paraId="4A2A4E0A" w14:textId="77777777" w:rsidR="00BA4914" w:rsidRPr="00EA5439" w:rsidRDefault="00BA4914"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t>TERMIN ZWIĄZANIA OFERTĄ</w:t>
      </w:r>
      <w:r w:rsidR="00096E59">
        <w:rPr>
          <w:b/>
          <w:color w:val="000000"/>
          <w:spacing w:val="-2"/>
          <w:lang w:eastAsia="ar-SA"/>
        </w:rPr>
        <w:t>.</w:t>
      </w:r>
    </w:p>
    <w:p w14:paraId="58C9758A" w14:textId="15E28CFD"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744283">
        <w:rPr>
          <w:spacing w:val="-2"/>
          <w:lang w:eastAsia="ar-SA"/>
        </w:rPr>
        <w:t>01</w:t>
      </w:r>
      <w:r w:rsidR="00153E15" w:rsidRPr="00EA5439">
        <w:rPr>
          <w:spacing w:val="-2"/>
          <w:lang w:eastAsia="ar-SA"/>
        </w:rPr>
        <w:t>.</w:t>
      </w:r>
      <w:r w:rsidR="00744283">
        <w:rPr>
          <w:spacing w:val="-2"/>
          <w:lang w:eastAsia="ar-SA"/>
        </w:rPr>
        <w:t>02</w:t>
      </w:r>
      <w:r w:rsidR="00153E15" w:rsidRPr="00EA5439">
        <w:rPr>
          <w:spacing w:val="-2"/>
          <w:lang w:eastAsia="ar-SA"/>
        </w:rPr>
        <w:t>.202</w:t>
      </w:r>
      <w:r w:rsidR="003F1778" w:rsidRPr="00EA5439">
        <w:rPr>
          <w:spacing w:val="-2"/>
          <w:lang w:eastAsia="ar-SA"/>
        </w:rPr>
        <w:t>2</w:t>
      </w:r>
      <w:r w:rsidR="0054281D" w:rsidRPr="00EA5439">
        <w:rPr>
          <w:spacing w:val="-2"/>
          <w:lang w:eastAsia="ar-SA"/>
        </w:rPr>
        <w:t>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 xml:space="preserve">stały dostęp do sieci Internet o gwarantowanej przepustowości nie mniejszej niż 512 </w:t>
      </w:r>
      <w:proofErr w:type="spellStart"/>
      <w:r>
        <w:t>kb</w:t>
      </w:r>
      <w:proofErr w:type="spellEnd"/>
      <w:r>
        <w:t>/s,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 xml:space="preserve">zainstalowany program Adobe </w:t>
      </w:r>
      <w:proofErr w:type="spellStart"/>
      <w:r>
        <w:t>Acrobat</w:t>
      </w:r>
      <w:proofErr w:type="spellEnd"/>
      <w:r>
        <w:t xml:space="preserve">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lastRenderedPageBreak/>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 xml:space="preserve">Oświadczenie, zgodne z art. 117 ust 4 ustawy </w:t>
      </w:r>
      <w:proofErr w:type="spellStart"/>
      <w:r w:rsidRPr="005D2370">
        <w:t>Pzp</w:t>
      </w:r>
      <w:proofErr w:type="spellEnd"/>
      <w:r w:rsidRPr="005D2370">
        <w:t xml:space="preserve">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 xml:space="preserve">ifikowanym </w:t>
      </w:r>
      <w:r w:rsidR="001550A3">
        <w:lastRenderedPageBreak/>
        <w:t>podpisem elektronicznym, bądź też poprzez opatrzenie skanu pełnomocnictwa sporządzonego uprzed</w:t>
      </w:r>
      <w:r>
        <w:t>nio w formie pisemnej kwalifikowanym podpis</w:t>
      </w:r>
      <w:r w:rsidR="001550A3">
        <w:t>em, podpisem zaufanym lub podpi</w:t>
      </w:r>
      <w:r>
        <w:t>sem 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62C634CC" w:rsidR="00C120D3" w:rsidRPr="00C120D3" w:rsidRDefault="009B4117" w:rsidP="00744283">
      <w:pPr>
        <w:tabs>
          <w:tab w:val="left" w:pos="0"/>
          <w:tab w:val="left" w:pos="851"/>
        </w:tabs>
        <w:spacing w:before="120" w:after="120"/>
        <w:ind w:left="851" w:right="142"/>
        <w:jc w:val="both"/>
        <w:rPr>
          <w:strike/>
          <w:color w:val="FF0000"/>
        </w:rPr>
      </w:pPr>
      <w:r w:rsidRPr="00C120D3">
        <w:rPr>
          <w:color w:val="000000"/>
        </w:rPr>
        <w:t xml:space="preserve">Wykonawca nie może zastrzec informacji, o których mowa w art. 222 ust. 5 ustawy </w:t>
      </w:r>
      <w:proofErr w:type="spellStart"/>
      <w:r w:rsidRPr="00C120D3">
        <w:rPr>
          <w:color w:val="000000"/>
        </w:rPr>
        <w:t>Pzp</w:t>
      </w:r>
      <w:proofErr w:type="spellEnd"/>
      <w:r w:rsidRPr="00C120D3">
        <w:rPr>
          <w:color w:val="000000"/>
        </w:rPr>
        <w:t xml:space="preserve">: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lastRenderedPageBreak/>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20" w:history="1">
        <w:r w:rsidRPr="00F55DC2">
          <w:rPr>
            <w:rStyle w:val="Hipercze"/>
          </w:rPr>
          <w:t>https://platformazakupowa.pl/pn/zgkimsierpc</w:t>
        </w:r>
      </w:hyperlink>
      <w:r w:rsidRPr="00DF2EE6">
        <w:rPr>
          <w:color w:val="000000"/>
        </w:rPr>
        <w:t xml:space="preserve"> </w:t>
      </w:r>
    </w:p>
    <w:p w14:paraId="45C52899" w14:textId="1ACD6417"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744283">
        <w:rPr>
          <w:color w:val="000000"/>
        </w:rPr>
        <w:t>03.01.2022r.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1"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6F28611C"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744283">
        <w:rPr>
          <w:color w:val="000000"/>
        </w:rPr>
        <w:t>03.01.2022r.</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p>
    <w:p w14:paraId="2B313117" w14:textId="0641231B" w:rsidR="00C83F3E" w:rsidRPr="00854D02"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t>Powyższym kryteriom Zamawiający przypisał następujące znaczenie:</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530"/>
        <w:gridCol w:w="1482"/>
        <w:gridCol w:w="5187"/>
      </w:tblGrid>
      <w:tr w:rsidR="006F4287" w:rsidRPr="00121FAD" w14:paraId="0682E78C" w14:textId="77777777" w:rsidTr="00854D02">
        <w:trPr>
          <w:jc w:val="center"/>
        </w:trPr>
        <w:tc>
          <w:tcPr>
            <w:tcW w:w="2677"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530"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5187"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854D02">
        <w:trPr>
          <w:jc w:val="center"/>
        </w:trPr>
        <w:tc>
          <w:tcPr>
            <w:tcW w:w="2677"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530"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5187"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854D02">
        <w:trPr>
          <w:trHeight w:val="679"/>
          <w:jc w:val="center"/>
        </w:trPr>
        <w:tc>
          <w:tcPr>
            <w:tcW w:w="2677"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530"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5187"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79A13492" w:rsidR="003067D1" w:rsidRPr="00DD3259" w:rsidRDefault="00323035"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52E64F2B" w:rsidR="003067D1" w:rsidRPr="00DD3259" w:rsidRDefault="00323035" w:rsidP="00B25CB7">
            <w:pPr>
              <w:pStyle w:val="Akapitzlist"/>
              <w:numPr>
                <w:ilvl w:val="0"/>
                <w:numId w:val="3"/>
              </w:numPr>
              <w:ind w:left="284" w:right="142" w:firstLine="0"/>
              <w:jc w:val="both"/>
            </w:pPr>
            <w:r>
              <w:t>72</w:t>
            </w:r>
            <w:r w:rsidR="003067D1" w:rsidRPr="00DD3259">
              <w:t xml:space="preserve"> miesi</w:t>
            </w:r>
            <w:r>
              <w:t>ące</w:t>
            </w:r>
            <w:r w:rsidR="003067D1" w:rsidRPr="00DD3259">
              <w:t xml:space="preserve"> – 10 pkt</w:t>
            </w:r>
          </w:p>
          <w:p w14:paraId="0CA4A61E" w14:textId="70B688F1" w:rsidR="003067D1" w:rsidRPr="00725489" w:rsidRDefault="00323035" w:rsidP="00B25CB7">
            <w:pPr>
              <w:pStyle w:val="Akapitzlist"/>
              <w:numPr>
                <w:ilvl w:val="0"/>
                <w:numId w:val="3"/>
              </w:numPr>
              <w:ind w:left="284" w:right="142" w:firstLine="0"/>
              <w:jc w:val="both"/>
            </w:pPr>
            <w:r>
              <w:t>84</w:t>
            </w:r>
            <w:r w:rsidR="003067D1" w:rsidRPr="00DD3259">
              <w:t xml:space="preserve"> miesi</w:t>
            </w:r>
            <w:r w:rsidR="002F1D43">
              <w:t>ące</w:t>
            </w:r>
            <w:r w:rsidR="003067D1" w:rsidRPr="00DD3259">
              <w:t xml:space="preserve"> – 20 pkt</w:t>
            </w:r>
          </w:p>
        </w:tc>
      </w:tr>
      <w:tr w:rsidR="00323035" w:rsidRPr="007A15A4" w14:paraId="61B6EBB7" w14:textId="77777777" w:rsidTr="00854D02">
        <w:trPr>
          <w:trHeight w:val="679"/>
          <w:jc w:val="center"/>
        </w:trPr>
        <w:tc>
          <w:tcPr>
            <w:tcW w:w="2677" w:type="dxa"/>
            <w:vAlign w:val="center"/>
          </w:tcPr>
          <w:p w14:paraId="50210AF2" w14:textId="2224D36F" w:rsidR="00323035" w:rsidRDefault="00323035" w:rsidP="00B25CB7">
            <w:pPr>
              <w:pStyle w:val="Akapitzlist"/>
              <w:numPr>
                <w:ilvl w:val="0"/>
                <w:numId w:val="67"/>
              </w:numPr>
              <w:tabs>
                <w:tab w:val="left" w:pos="157"/>
                <w:tab w:val="left" w:pos="440"/>
              </w:tabs>
              <w:spacing w:after="40"/>
              <w:ind w:left="306" w:right="142" w:hanging="284"/>
              <w:jc w:val="both"/>
            </w:pPr>
            <w:r>
              <w:t>Doświadczenie zawodowe kierownika budowy</w:t>
            </w:r>
            <w:r w:rsidR="004562FC">
              <w:t xml:space="preserve"> (osoby, która zostanie wskazana na spełnienie warunku udziału w</w:t>
            </w:r>
            <w:r w:rsidR="00854D02">
              <w:t xml:space="preserve"> </w:t>
            </w:r>
            <w:r w:rsidR="004562FC">
              <w:t>postępowaniu).</w:t>
            </w:r>
          </w:p>
        </w:tc>
        <w:tc>
          <w:tcPr>
            <w:tcW w:w="1530" w:type="dxa"/>
            <w:vAlign w:val="center"/>
          </w:tcPr>
          <w:p w14:paraId="1EADC91F" w14:textId="26286D04" w:rsidR="00323035" w:rsidRDefault="00323035" w:rsidP="00833310">
            <w:pPr>
              <w:tabs>
                <w:tab w:val="num" w:pos="0"/>
              </w:tabs>
              <w:spacing w:after="40"/>
              <w:ind w:left="284" w:right="142"/>
              <w:contextualSpacing/>
              <w:jc w:val="center"/>
            </w:pPr>
            <w:r>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5187" w:type="dxa"/>
            <w:shd w:val="clear" w:color="auto" w:fill="auto"/>
            <w:vAlign w:val="center"/>
          </w:tcPr>
          <w:p w14:paraId="7A2888E9" w14:textId="65BAD9B4" w:rsidR="004562FC" w:rsidRDefault="004562FC" w:rsidP="00833310">
            <w:pPr>
              <w:ind w:left="284" w:right="142"/>
              <w:contextualSpacing/>
              <w:jc w:val="both"/>
            </w:pPr>
            <w:r>
              <w:t xml:space="preserve">Doświadczenie w pełnieniu funkcji kierownika budowy </w:t>
            </w:r>
            <w:r w:rsidRPr="004562FC">
              <w:t>inwestycj</w:t>
            </w:r>
            <w:r>
              <w:t>i</w:t>
            </w:r>
            <w:r w:rsidRPr="004562FC">
              <w:t xml:space="preserve"> (zakończonych i rozliczonych do dnia otwarcia ofert) polegając</w:t>
            </w:r>
            <w:r>
              <w:t>ej</w:t>
            </w:r>
            <w:r w:rsidRPr="004562FC">
              <w:t xml:space="preserve"> na budowie</w:t>
            </w:r>
            <w:r w:rsidR="00785D9E">
              <w:t xml:space="preserve">, przebudowie </w:t>
            </w:r>
            <w:r w:rsidRPr="004562FC">
              <w:t>budynku mieszkalnego</w:t>
            </w:r>
            <w:r w:rsidR="00F37CE0">
              <w:t xml:space="preserve"> lub zmianie </w:t>
            </w:r>
            <w:r w:rsidR="004373A2">
              <w:t>sposobu użytkowania</w:t>
            </w:r>
            <w:r w:rsidRPr="004562FC">
              <w:t>, przeznaczonego dla więcej niż dwóch rodzin, o powierzchni</w:t>
            </w:r>
            <w:r w:rsidR="00D44CE0">
              <w:t xml:space="preserve"> użytkowej nie mniejszej niż </w:t>
            </w:r>
            <w:r w:rsidR="00B24B87">
              <w:t>4</w:t>
            </w:r>
            <w:r w:rsidR="00F37CE0">
              <w:t xml:space="preserve">00,00 </w:t>
            </w:r>
            <w:r w:rsidRPr="004562FC">
              <w:t>m</w:t>
            </w:r>
            <w:r w:rsidRPr="004562FC">
              <w:rPr>
                <w:vertAlign w:val="superscript"/>
              </w:rPr>
              <w:t>2</w:t>
            </w:r>
            <w:r w:rsidR="00123D7E">
              <w:t xml:space="preserve"> (powierzchnia użytkowa).</w:t>
            </w:r>
          </w:p>
          <w:p w14:paraId="32FA0496" w14:textId="0C783226" w:rsidR="00323035" w:rsidRDefault="004562FC" w:rsidP="00833310">
            <w:pPr>
              <w:ind w:left="284" w:right="142"/>
              <w:contextualSpacing/>
              <w:jc w:val="both"/>
            </w:pPr>
            <w:r>
              <w:lastRenderedPageBreak/>
              <w:t>Za każdą dodatkową robotę budowlaną (</w:t>
            </w:r>
            <w:r w:rsidRPr="003F1778">
              <w:rPr>
                <w:b/>
              </w:rPr>
              <w:t>nie wykazaną na spełnienie warunku udziału w postępowaniu</w:t>
            </w:r>
            <w:r>
              <w:t>)  - 5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854D02">
        <w:trPr>
          <w:trHeight w:val="516"/>
          <w:jc w:val="center"/>
        </w:trPr>
        <w:tc>
          <w:tcPr>
            <w:tcW w:w="2677"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lastRenderedPageBreak/>
              <w:t>RAZEM</w:t>
            </w:r>
          </w:p>
        </w:tc>
        <w:tc>
          <w:tcPr>
            <w:tcW w:w="1530"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5187"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 xml:space="preserve">awionym w ustawie </w:t>
      </w:r>
      <w:proofErr w:type="spellStart"/>
      <w:r w:rsidR="003067D1">
        <w:t>P</w:t>
      </w:r>
      <w:r w:rsidR="00581762">
        <w:t>zp</w:t>
      </w:r>
      <w:proofErr w:type="spellEnd"/>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t>W przypadku ofert:</w:t>
      </w:r>
    </w:p>
    <w:p w14:paraId="577EACA5" w14:textId="77777777"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 xml:space="preserve">minimalnie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lastRenderedPageBreak/>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7777777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których nie wynika, że powierzchnia jednego budynku mieszkalnego wynosi co najmniej </w:t>
      </w:r>
      <w:r w:rsidR="000C6C19">
        <w:t>400</w:t>
      </w:r>
      <w:r w:rsidRPr="004508CF">
        <w:t xml:space="preserve"> m2 – 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lastRenderedPageBreak/>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833310">
      <w:pPr>
        <w:shd w:val="clear" w:color="auto" w:fill="FFFFFF"/>
        <w:spacing w:before="120" w:after="120"/>
        <w:ind w:left="284"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77777777" w:rsidR="0021221D" w:rsidRPr="0021221D" w:rsidRDefault="00E173F7" w:rsidP="00B25CB7">
      <w:pPr>
        <w:pStyle w:val="Akapitzlist"/>
        <w:numPr>
          <w:ilvl w:val="0"/>
          <w:numId w:val="90"/>
        </w:numPr>
        <w:shd w:val="clear" w:color="auto" w:fill="FFFFFF"/>
        <w:ind w:left="993" w:right="142" w:hanging="284"/>
        <w:rPr>
          <w:b/>
        </w:rPr>
      </w:pPr>
      <w:r>
        <w:t>w pieniądzu, przelewem na konto</w:t>
      </w:r>
      <w:r w:rsidRPr="00FD35FD">
        <w:t xml:space="preserve">: </w:t>
      </w:r>
      <w:r w:rsidR="00781640" w:rsidRPr="00FD35FD">
        <w:rPr>
          <w:b/>
        </w:rPr>
        <w:t xml:space="preserve">89 9038 0004 8420 0619 2000 0020 </w:t>
      </w:r>
      <w:r w:rsidRPr="00310319">
        <w:rPr>
          <w:color w:val="FF0000"/>
        </w:rPr>
        <w:t xml:space="preserve">- </w:t>
      </w:r>
      <w:r>
        <w:t>z dopiskiem:</w:t>
      </w:r>
      <w:r w:rsidR="0021221D">
        <w:t xml:space="preserve"> </w:t>
      </w:r>
      <w:r>
        <w:t xml:space="preserve">„Zabezpieczenie należytego wykonania zamówienia, znak sprawy: </w:t>
      </w:r>
      <w:proofErr w:type="spellStart"/>
      <w:r w:rsidR="00F37CE0" w:rsidRPr="0036370B">
        <w:rPr>
          <w:b/>
        </w:rPr>
        <w:t>ZGKiM.IiZP</w:t>
      </w:r>
      <w:proofErr w:type="spellEnd"/>
      <w:r w:rsidR="00F37CE0" w:rsidRPr="0036370B">
        <w:rPr>
          <w:b/>
        </w:rPr>
        <w:t>/2/</w:t>
      </w:r>
      <w:r w:rsidR="0036370B" w:rsidRPr="0036370B">
        <w:rPr>
          <w:b/>
        </w:rPr>
        <w:t>8</w:t>
      </w:r>
      <w:r w:rsidR="00F37CE0" w:rsidRPr="0036370B">
        <w:rPr>
          <w:b/>
        </w:rPr>
        <w:t>/2021</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4267E">
      <w:pPr>
        <w:pStyle w:val="Akapitzlist"/>
        <w:tabs>
          <w:tab w:val="left" w:pos="567"/>
        </w:tabs>
        <w:spacing w:after="40"/>
        <w:ind w:left="851" w:right="142"/>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sidRPr="00F4267E">
        <w:rPr>
          <w:color w:val="000000"/>
          <w:spacing w:val="-1"/>
        </w:rPr>
        <w:t>Pzp</w:t>
      </w:r>
      <w:proofErr w:type="spellEnd"/>
      <w:r w:rsidRPr="00F4267E">
        <w:rPr>
          <w:color w:val="000000"/>
          <w:spacing w:val="-1"/>
        </w:rPr>
        <w:t>.</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lastRenderedPageBreak/>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Na orzeczenie Krajowej Izby Odwoławczej oraz postanowienie Prezesa Krajowej Izby Odwoławczej, o którym mowa w art. 519 ust. 1 </w:t>
      </w:r>
      <w:proofErr w:type="spellStart"/>
      <w:r w:rsidRPr="008206BD">
        <w:rPr>
          <w:color w:val="000000"/>
          <w:spacing w:val="-1"/>
        </w:rPr>
        <w:t>Pzp</w:t>
      </w:r>
      <w:proofErr w:type="spellEnd"/>
      <w:r w:rsidRPr="008206BD">
        <w:rPr>
          <w:color w:val="000000"/>
          <w:spacing w:val="-1"/>
        </w:rPr>
        <w:t>,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Szczegółowe informacje dotyczące środków ochrony prawnej określone są w Dziale IX „Środki ochrony prawnej” </w:t>
      </w:r>
      <w:proofErr w:type="spellStart"/>
      <w:r w:rsidRPr="008206BD">
        <w:rPr>
          <w:color w:val="000000"/>
          <w:spacing w:val="-1"/>
        </w:rPr>
        <w:t>Pzp</w:t>
      </w:r>
      <w:proofErr w:type="spellEnd"/>
      <w:r w:rsidRPr="008206BD">
        <w:rPr>
          <w:color w:val="000000"/>
          <w:spacing w:val="-1"/>
        </w:rPr>
        <w:t>.</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2" w:history="1">
        <w:r w:rsidR="006A5901" w:rsidRPr="00E51FA2">
          <w:rPr>
            <w:rStyle w:val="Hipercze"/>
            <w:bCs/>
          </w:rPr>
          <w:t>rodo@zgkim.sierpc.pl</w:t>
        </w:r>
      </w:hyperlink>
      <w:r w:rsidR="006A5901">
        <w:rPr>
          <w:bCs/>
        </w:rPr>
        <w:t>;</w:t>
      </w:r>
    </w:p>
    <w:p w14:paraId="496722CA" w14:textId="77777777"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B23A5A" w:rsidRPr="006A5901">
        <w:rPr>
          <w:b/>
        </w:rPr>
        <w:t xml:space="preserve">Zmiana sposobu użytkowania budynku </w:t>
      </w:r>
      <w:r w:rsidR="006F6395" w:rsidRPr="006A5901">
        <w:rPr>
          <w:b/>
        </w:rPr>
        <w:t>przy ul. Armii Krajowej 1a w Sierpcu</w:t>
      </w:r>
      <w:r w:rsidR="00462A86" w:rsidRPr="006A5901">
        <w:rPr>
          <w:b/>
          <w:bCs/>
        </w:rPr>
        <w:t>, Znak sprawy:</w:t>
      </w:r>
      <w:r w:rsidR="00227B7C" w:rsidRPr="006A5901">
        <w:rPr>
          <w:rFonts w:cstheme="minorHAnsi"/>
          <w:b/>
          <w:iCs/>
        </w:rPr>
        <w:t xml:space="preserve"> </w:t>
      </w:r>
      <w:proofErr w:type="spellStart"/>
      <w:r w:rsidR="006F6395" w:rsidRPr="006A5901">
        <w:rPr>
          <w:rFonts w:cstheme="minorHAnsi"/>
          <w:b/>
          <w:iCs/>
        </w:rPr>
        <w:t>ZGKiM.IiZP</w:t>
      </w:r>
      <w:proofErr w:type="spellEnd"/>
      <w:r w:rsidR="006F6395" w:rsidRPr="006A5901">
        <w:rPr>
          <w:rFonts w:cstheme="minorHAnsi"/>
          <w:b/>
          <w:iCs/>
        </w:rPr>
        <w:t>/2/</w:t>
      </w:r>
      <w:r w:rsidR="006A5901">
        <w:rPr>
          <w:rFonts w:cstheme="minorHAnsi"/>
          <w:b/>
          <w:iCs/>
        </w:rPr>
        <w:t>8</w:t>
      </w:r>
      <w:r w:rsidR="006F6395" w:rsidRPr="006A5901">
        <w:rPr>
          <w:rFonts w:cstheme="minorHAnsi"/>
          <w:b/>
          <w:iCs/>
        </w:rPr>
        <w:t>/2021</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odbiorcami Pani/Pana danych osobowych będą osoby lub podmioty, którym udostępniona zostanie dokumentacja postępowania w oparciu o ustaw</w:t>
      </w:r>
      <w:r w:rsidR="00412B30">
        <w:t>ę</w:t>
      </w:r>
      <w:r w:rsidRPr="00AC36B5">
        <w:t xml:space="preserve"> Prawo zamówień publicznych, dalej „ustawa </w:t>
      </w:r>
      <w:proofErr w:type="spellStart"/>
      <w:r w:rsidRPr="00AC36B5">
        <w:t>Pzp</w:t>
      </w:r>
      <w:proofErr w:type="spellEnd"/>
      <w:r w:rsidRPr="00AC36B5">
        <w:t>”;</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w:t>
      </w:r>
      <w:proofErr w:type="spellStart"/>
      <w:r w:rsidRPr="00AC36B5">
        <w:t>Pzp</w:t>
      </w:r>
      <w:proofErr w:type="spellEnd"/>
      <w:r w:rsidRPr="00AC36B5">
        <w:t xml:space="preserve">,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lastRenderedPageBreak/>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3"/>
      <w:footerReference w:type="even" r:id="rId24"/>
      <w:footerReference w:type="default" r:id="rId2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6B7368">
          <w:rPr>
            <w:rStyle w:val="Numerstrony"/>
            <w:noProof/>
            <w:sz w:val="20"/>
            <w:szCs w:val="20"/>
          </w:rPr>
          <w:t>3</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2">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96776A"/>
    <w:multiLevelType w:val="hybridMultilevel"/>
    <w:tmpl w:val="1BBC5A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7">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2">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4">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8">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9">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1">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6">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7">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79">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1">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2">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4">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3">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97">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8">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1">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07">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1">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18">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3">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24">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6">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7">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4">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5">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17"/>
  </w:num>
  <w:num w:numId="2">
    <w:abstractNumId w:val="108"/>
  </w:num>
  <w:num w:numId="3">
    <w:abstractNumId w:val="135"/>
  </w:num>
  <w:num w:numId="4">
    <w:abstractNumId w:val="87"/>
  </w:num>
  <w:num w:numId="5">
    <w:abstractNumId w:val="61"/>
  </w:num>
  <w:num w:numId="6">
    <w:abstractNumId w:val="57"/>
  </w:num>
  <w:num w:numId="7">
    <w:abstractNumId w:val="131"/>
  </w:num>
  <w:num w:numId="8">
    <w:abstractNumId w:val="103"/>
  </w:num>
  <w:num w:numId="9">
    <w:abstractNumId w:val="41"/>
  </w:num>
  <w:num w:numId="10">
    <w:abstractNumId w:val="63"/>
  </w:num>
  <w:num w:numId="11">
    <w:abstractNumId w:val="125"/>
  </w:num>
  <w:num w:numId="12">
    <w:abstractNumId w:val="56"/>
  </w:num>
  <w:num w:numId="13">
    <w:abstractNumId w:val="21"/>
  </w:num>
  <w:num w:numId="14">
    <w:abstractNumId w:val="93"/>
  </w:num>
  <w:num w:numId="15">
    <w:abstractNumId w:val="80"/>
  </w:num>
  <w:num w:numId="16">
    <w:abstractNumId w:val="77"/>
  </w:num>
  <w:num w:numId="17">
    <w:abstractNumId w:val="110"/>
  </w:num>
  <w:num w:numId="18">
    <w:abstractNumId w:val="65"/>
  </w:num>
  <w:num w:numId="19">
    <w:abstractNumId w:val="104"/>
  </w:num>
  <w:num w:numId="20">
    <w:abstractNumId w:val="107"/>
  </w:num>
  <w:num w:numId="21">
    <w:abstractNumId w:val="102"/>
  </w:num>
  <w:num w:numId="22">
    <w:abstractNumId w:val="89"/>
  </w:num>
  <w:num w:numId="23">
    <w:abstractNumId w:val="92"/>
  </w:num>
  <w:num w:numId="24">
    <w:abstractNumId w:val="22"/>
  </w:num>
  <w:num w:numId="25">
    <w:abstractNumId w:val="118"/>
  </w:num>
  <w:num w:numId="26">
    <w:abstractNumId w:val="130"/>
  </w:num>
  <w:num w:numId="27">
    <w:abstractNumId w:val="53"/>
  </w:num>
  <w:num w:numId="28">
    <w:abstractNumId w:val="126"/>
  </w:num>
  <w:num w:numId="29">
    <w:abstractNumId w:val="70"/>
  </w:num>
  <w:num w:numId="30">
    <w:abstractNumId w:val="78"/>
  </w:num>
  <w:num w:numId="31">
    <w:abstractNumId w:val="59"/>
  </w:num>
  <w:num w:numId="32">
    <w:abstractNumId w:val="20"/>
  </w:num>
  <w:num w:numId="33">
    <w:abstractNumId w:val="28"/>
  </w:num>
  <w:num w:numId="34">
    <w:abstractNumId w:val="60"/>
  </w:num>
  <w:num w:numId="35">
    <w:abstractNumId w:val="17"/>
  </w:num>
  <w:num w:numId="36">
    <w:abstractNumId w:val="30"/>
  </w:num>
  <w:num w:numId="37">
    <w:abstractNumId w:val="32"/>
  </w:num>
  <w:num w:numId="38">
    <w:abstractNumId w:val="86"/>
  </w:num>
  <w:num w:numId="39">
    <w:abstractNumId w:val="71"/>
  </w:num>
  <w:num w:numId="40">
    <w:abstractNumId w:val="82"/>
  </w:num>
  <w:num w:numId="41">
    <w:abstractNumId w:val="68"/>
  </w:num>
  <w:num w:numId="42">
    <w:abstractNumId w:val="18"/>
  </w:num>
  <w:num w:numId="43">
    <w:abstractNumId w:val="25"/>
  </w:num>
  <w:num w:numId="44">
    <w:abstractNumId w:val="67"/>
  </w:num>
  <w:num w:numId="45">
    <w:abstractNumId w:val="42"/>
  </w:num>
  <w:num w:numId="46">
    <w:abstractNumId w:val="74"/>
  </w:num>
  <w:num w:numId="47">
    <w:abstractNumId w:val="127"/>
  </w:num>
  <w:num w:numId="48">
    <w:abstractNumId w:val="26"/>
  </w:num>
  <w:num w:numId="49">
    <w:abstractNumId w:val="121"/>
  </w:num>
  <w:num w:numId="50">
    <w:abstractNumId w:val="132"/>
  </w:num>
  <w:num w:numId="51">
    <w:abstractNumId w:val="134"/>
  </w:num>
  <w:num w:numId="52">
    <w:abstractNumId w:val="98"/>
  </w:num>
  <w:num w:numId="53">
    <w:abstractNumId w:val="50"/>
  </w:num>
  <w:num w:numId="54">
    <w:abstractNumId w:val="45"/>
  </w:num>
  <w:num w:numId="55">
    <w:abstractNumId w:val="37"/>
  </w:num>
  <w:num w:numId="56">
    <w:abstractNumId w:val="64"/>
  </w:num>
  <w:num w:numId="57">
    <w:abstractNumId w:val="116"/>
  </w:num>
  <w:num w:numId="58">
    <w:abstractNumId w:val="66"/>
  </w:num>
  <w:num w:numId="59">
    <w:abstractNumId w:val="62"/>
  </w:num>
  <w:num w:numId="60">
    <w:abstractNumId w:val="75"/>
  </w:num>
  <w:num w:numId="61">
    <w:abstractNumId w:val="120"/>
  </w:num>
  <w:num w:numId="62">
    <w:abstractNumId w:val="100"/>
  </w:num>
  <w:num w:numId="63">
    <w:abstractNumId w:val="27"/>
  </w:num>
  <w:num w:numId="64">
    <w:abstractNumId w:val="97"/>
  </w:num>
  <w:num w:numId="65">
    <w:abstractNumId w:val="105"/>
  </w:num>
  <w:num w:numId="66">
    <w:abstractNumId w:val="19"/>
  </w:num>
  <w:num w:numId="67">
    <w:abstractNumId w:val="95"/>
  </w:num>
  <w:num w:numId="68">
    <w:abstractNumId w:val="55"/>
  </w:num>
  <w:num w:numId="69">
    <w:abstractNumId w:val="33"/>
  </w:num>
  <w:num w:numId="70">
    <w:abstractNumId w:val="38"/>
  </w:num>
  <w:num w:numId="71">
    <w:abstractNumId w:val="73"/>
  </w:num>
  <w:num w:numId="72">
    <w:abstractNumId w:val="84"/>
  </w:num>
  <w:num w:numId="73">
    <w:abstractNumId w:val="129"/>
  </w:num>
  <w:num w:numId="74">
    <w:abstractNumId w:val="81"/>
  </w:num>
  <w:num w:numId="75">
    <w:abstractNumId w:val="79"/>
  </w:num>
  <w:num w:numId="76">
    <w:abstractNumId w:val="113"/>
  </w:num>
  <w:num w:numId="77">
    <w:abstractNumId w:val="124"/>
  </w:num>
  <w:num w:numId="78">
    <w:abstractNumId w:val="85"/>
  </w:num>
  <w:num w:numId="79">
    <w:abstractNumId w:val="122"/>
  </w:num>
  <w:num w:numId="80">
    <w:abstractNumId w:val="40"/>
  </w:num>
  <w:num w:numId="81">
    <w:abstractNumId w:val="36"/>
  </w:num>
  <w:num w:numId="82">
    <w:abstractNumId w:val="52"/>
  </w:num>
  <w:num w:numId="83">
    <w:abstractNumId w:val="94"/>
  </w:num>
  <w:num w:numId="84">
    <w:abstractNumId w:val="49"/>
  </w:num>
  <w:num w:numId="85">
    <w:abstractNumId w:val="23"/>
  </w:num>
  <w:num w:numId="86">
    <w:abstractNumId w:val="136"/>
  </w:num>
  <w:num w:numId="87">
    <w:abstractNumId w:val="35"/>
  </w:num>
  <w:num w:numId="88">
    <w:abstractNumId w:val="46"/>
  </w:num>
  <w:num w:numId="89">
    <w:abstractNumId w:val="88"/>
  </w:num>
  <w:num w:numId="90">
    <w:abstractNumId w:val="44"/>
  </w:num>
  <w:num w:numId="91">
    <w:abstractNumId w:val="114"/>
  </w:num>
  <w:num w:numId="92">
    <w:abstractNumId w:val="119"/>
  </w:num>
  <w:num w:numId="93">
    <w:abstractNumId w:val="133"/>
  </w:num>
  <w:num w:numId="94">
    <w:abstractNumId w:val="111"/>
  </w:num>
  <w:num w:numId="95">
    <w:abstractNumId w:val="48"/>
  </w:num>
  <w:num w:numId="96">
    <w:abstractNumId w:val="69"/>
  </w:num>
  <w:num w:numId="97">
    <w:abstractNumId w:val="128"/>
  </w:num>
  <w:num w:numId="98">
    <w:abstractNumId w:val="58"/>
  </w:num>
  <w:num w:numId="99">
    <w:abstractNumId w:val="7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63CC"/>
    <w:rsid w:val="000F6DDC"/>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3A48"/>
    <w:rsid w:val="00153E15"/>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CB8"/>
    <w:rsid w:val="003D4D4E"/>
    <w:rsid w:val="003D71A8"/>
    <w:rsid w:val="003D744B"/>
    <w:rsid w:val="003E1784"/>
    <w:rsid w:val="003E2055"/>
    <w:rsid w:val="003E3FEC"/>
    <w:rsid w:val="003E4AC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BD7"/>
    <w:rsid w:val="004D0C02"/>
    <w:rsid w:val="004D12E5"/>
    <w:rsid w:val="004D1BC2"/>
    <w:rsid w:val="004D2102"/>
    <w:rsid w:val="004D31E2"/>
    <w:rsid w:val="004D3821"/>
    <w:rsid w:val="004D5FAF"/>
    <w:rsid w:val="004D6998"/>
    <w:rsid w:val="004D6CE9"/>
    <w:rsid w:val="004E19F0"/>
    <w:rsid w:val="004E6298"/>
    <w:rsid w:val="004E7F4E"/>
    <w:rsid w:val="004F084F"/>
    <w:rsid w:val="004F2533"/>
    <w:rsid w:val="004F298B"/>
    <w:rsid w:val="004F2ECF"/>
    <w:rsid w:val="004F33E4"/>
    <w:rsid w:val="004F474D"/>
    <w:rsid w:val="004F5F83"/>
    <w:rsid w:val="004F7BBF"/>
    <w:rsid w:val="00500361"/>
    <w:rsid w:val="005010EA"/>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54DD"/>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B1B"/>
    <w:rsid w:val="007C1E42"/>
    <w:rsid w:val="007C2853"/>
    <w:rsid w:val="007C2A62"/>
    <w:rsid w:val="007C489C"/>
    <w:rsid w:val="007C4FB3"/>
    <w:rsid w:val="007C622F"/>
    <w:rsid w:val="007C6314"/>
    <w:rsid w:val="007C6468"/>
    <w:rsid w:val="007C6962"/>
    <w:rsid w:val="007C769C"/>
    <w:rsid w:val="007D2DDE"/>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F41"/>
    <w:rsid w:val="00843F09"/>
    <w:rsid w:val="0084409F"/>
    <w:rsid w:val="00845313"/>
    <w:rsid w:val="00845E0C"/>
    <w:rsid w:val="00846C4B"/>
    <w:rsid w:val="00846C77"/>
    <w:rsid w:val="00846DA4"/>
    <w:rsid w:val="0084752E"/>
    <w:rsid w:val="008507B8"/>
    <w:rsid w:val="00850AB2"/>
    <w:rsid w:val="00854024"/>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4D6"/>
    <w:rsid w:val="0090063F"/>
    <w:rsid w:val="0090097F"/>
    <w:rsid w:val="009038E9"/>
    <w:rsid w:val="00903E39"/>
    <w:rsid w:val="009048D9"/>
    <w:rsid w:val="00904CD8"/>
    <w:rsid w:val="00905479"/>
    <w:rsid w:val="009072BB"/>
    <w:rsid w:val="00907757"/>
    <w:rsid w:val="00911D9A"/>
    <w:rsid w:val="0091307F"/>
    <w:rsid w:val="009133A3"/>
    <w:rsid w:val="00914178"/>
    <w:rsid w:val="009142D8"/>
    <w:rsid w:val="009164E1"/>
    <w:rsid w:val="00916CBF"/>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5FFC"/>
    <w:rsid w:val="00A92496"/>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UnresolvedMention">
    <w:name w:val="Unresolved Mention"/>
    <w:basedOn w:val="Domylnaczcionkaakapitu"/>
    <w:uiPriority w:val="99"/>
    <w:semiHidden/>
    <w:unhideWhenUsed/>
    <w:rsid w:val="000B6C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UnresolvedMention">
    <w:name w:val="Unresolved Mention"/>
    <w:basedOn w:val="Domylnaczcionkaakapitu"/>
    <w:uiPriority w:val="99"/>
    <w:semiHidden/>
    <w:unhideWhenUsed/>
    <w:rsid w:val="000B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gkimsierpc" TargetMode="External"/><Relationship Id="rId18" Type="http://schemas.openxmlformats.org/officeDocument/2006/relationships/hyperlink" Target="https://zgkimsierpc.zakladkomunalny.com/b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zgkimsierpc" TargetMode="External"/><Relationship Id="rId7" Type="http://schemas.openxmlformats.org/officeDocument/2006/relationships/footnotes" Target="footnotes.xml"/><Relationship Id="rId12" Type="http://schemas.openxmlformats.org/officeDocument/2006/relationships/hyperlink" Target="https://zgkimsierpc.zakladkomunalny.com/zamowienia-publiczn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iuro@doradztwo-przetargi.pl"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imsierp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iuro@doradztwo-przetargi.pl" TargetMode="External"/><Relationship Id="rId23" Type="http://schemas.openxmlformats.org/officeDocument/2006/relationships/header" Target="header1.xml"/><Relationship Id="rId10" Type="http://schemas.openxmlformats.org/officeDocument/2006/relationships/hyperlink" Target="https://zgkimsierpc.zakladkomunalny.com/zamowienia-publiczne" TargetMode="External"/><Relationship Id="rId19"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http://www.zgkim.sierpc.pl" TargetMode="External"/><Relationship Id="rId14" Type="http://schemas.openxmlformats.org/officeDocument/2006/relationships/hyperlink" Target="https://platformazakupowa.pl/pn/zgkimsierpc" TargetMode="External"/><Relationship Id="rId22" Type="http://schemas.openxmlformats.org/officeDocument/2006/relationships/hyperlink" Target="mailto:rodo@zgkim.sierpc.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1E52-1B75-4B82-A912-E9F4B11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13759</TotalTime>
  <Pages>25</Pages>
  <Words>10563</Words>
  <Characters>63382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User</cp:lastModifiedBy>
  <cp:revision>260</cp:revision>
  <cp:lastPrinted>2018-01-09T09:58:00Z</cp:lastPrinted>
  <dcterms:created xsi:type="dcterms:W3CDTF">2021-01-29T12:46:00Z</dcterms:created>
  <dcterms:modified xsi:type="dcterms:W3CDTF">2021-12-15T11:32:00Z</dcterms:modified>
</cp:coreProperties>
</file>